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F3B" w:rsidRPr="00C701BF" w:rsidRDefault="000C2F3B" w:rsidP="000D3943">
      <w:pPr>
        <w:pStyle w:val="BodyText3"/>
        <w:jc w:val="center"/>
        <w:rPr>
          <w:b/>
          <w:sz w:val="24"/>
          <w:szCs w:val="24"/>
          <w:lang w:val="lv-LV"/>
        </w:rPr>
      </w:pPr>
      <w:r w:rsidRPr="00C701BF">
        <w:rPr>
          <w:b/>
          <w:sz w:val="24"/>
          <w:szCs w:val="24"/>
          <w:lang w:val="lv-LV"/>
        </w:rPr>
        <w:t>Ministru kabineta noteikumu projekta</w:t>
      </w:r>
    </w:p>
    <w:p w:rsidR="007412E5" w:rsidRPr="00C701BF" w:rsidRDefault="00892D1D" w:rsidP="00842DCE">
      <w:pPr>
        <w:pStyle w:val="BodyText3"/>
        <w:jc w:val="center"/>
        <w:rPr>
          <w:b/>
          <w:sz w:val="24"/>
          <w:szCs w:val="24"/>
          <w:lang w:val="lv-LV"/>
        </w:rPr>
      </w:pPr>
      <w:r w:rsidRPr="00C701BF">
        <w:rPr>
          <w:b/>
          <w:sz w:val="24"/>
          <w:szCs w:val="24"/>
          <w:lang w:val="lv-LV"/>
        </w:rPr>
        <w:t>„</w:t>
      </w:r>
      <w:r w:rsidR="002200FE" w:rsidRPr="00C701BF">
        <w:rPr>
          <w:b/>
          <w:bCs/>
          <w:sz w:val="24"/>
          <w:szCs w:val="24"/>
          <w:lang w:val="lv-LV"/>
        </w:rPr>
        <w:t>Grozījumi Ministru kabineta 2011.gada 6. septembra noteikumos Nr.694 „Noteikumi par darbības programmas „Cilvēkresursi un nodarbinātība” papildinājuma 1.6.1.1.aktivitātes „Programmas vadības un atbalsta funkciju nodrošināšana”, darbības programmas „Uzņēmējdarbība un inovācijas” papildinājuma 2.4.1.1.aktivitātes „Programmas vadības un atbalsta funkciju nodrošināšana”, darbības programmas „Infrastruktūra un pakalpojumi” papildinājuma 3.7.1.1.aktivitātes „Programmas vadības un atbalsta funkciju nodrošināšana” un 3.8.1.1.aktivitātes „Programmas vadības un atbalsta funkciju nodrošināšana” projektu iesniegumu atlases otro kārtu””</w:t>
      </w:r>
      <w:r w:rsidR="00C701BF">
        <w:rPr>
          <w:b/>
          <w:bCs/>
          <w:sz w:val="24"/>
          <w:szCs w:val="24"/>
          <w:lang w:val="lv-LV"/>
        </w:rPr>
        <w:t xml:space="preserve"> </w:t>
      </w:r>
      <w:r w:rsidR="00795A11" w:rsidRPr="00C701BF">
        <w:rPr>
          <w:b/>
          <w:bCs/>
          <w:sz w:val="24"/>
          <w:szCs w:val="24"/>
          <w:lang w:val="lv-LV"/>
        </w:rPr>
        <w:t xml:space="preserve">sākotnējās ietekmes novērtējuma ziņojums </w:t>
      </w:r>
      <w:r w:rsidR="00582D68" w:rsidRPr="00C701BF">
        <w:rPr>
          <w:b/>
          <w:sz w:val="24"/>
          <w:szCs w:val="24"/>
          <w:lang w:val="lv-LV"/>
        </w:rPr>
        <w:t>(anotācija)</w:t>
      </w:r>
    </w:p>
    <w:tbl>
      <w:tblPr>
        <w:tblpPr w:leftFromText="180" w:rightFromText="180" w:vertAnchor="text" w:horzAnchor="margin" w:tblpXSpec="center" w:tblpY="149"/>
        <w:tblW w:w="9386"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71"/>
        <w:gridCol w:w="2530"/>
        <w:gridCol w:w="2271"/>
        <w:gridCol w:w="4114"/>
      </w:tblGrid>
      <w:tr w:rsidR="00582D68" w:rsidRPr="00C701BF" w:rsidTr="00214E1D">
        <w:trPr>
          <w:trHeight w:val="50"/>
          <w:tblCellSpacing w:w="0" w:type="dxa"/>
        </w:trPr>
        <w:tc>
          <w:tcPr>
            <w:tcW w:w="9386" w:type="dxa"/>
            <w:gridSpan w:val="4"/>
            <w:vAlign w:val="center"/>
          </w:tcPr>
          <w:p w:rsidR="00582D68" w:rsidRPr="00C701BF" w:rsidRDefault="00582D68" w:rsidP="00AA75EA">
            <w:pPr>
              <w:pStyle w:val="naisnod"/>
              <w:ind w:left="360"/>
            </w:pPr>
            <w:r w:rsidRPr="00C701BF">
              <w:t> I Tiesību akta projekta izstrādes nepieciešamība</w:t>
            </w:r>
          </w:p>
        </w:tc>
      </w:tr>
      <w:tr w:rsidR="00582D68" w:rsidRPr="00C701BF" w:rsidTr="00214E1D">
        <w:trPr>
          <w:trHeight w:val="630"/>
          <w:tblCellSpacing w:w="0" w:type="dxa"/>
        </w:trPr>
        <w:tc>
          <w:tcPr>
            <w:tcW w:w="471" w:type="dxa"/>
            <w:vAlign w:val="center"/>
          </w:tcPr>
          <w:p w:rsidR="00582D68" w:rsidRPr="00C701BF" w:rsidRDefault="00582D68" w:rsidP="00AA75EA">
            <w:pPr>
              <w:pStyle w:val="naiskr"/>
              <w:ind w:left="180" w:hanging="180"/>
              <w:jc w:val="center"/>
            </w:pPr>
            <w:r w:rsidRPr="00C701BF">
              <w:t>1.</w:t>
            </w:r>
          </w:p>
        </w:tc>
        <w:tc>
          <w:tcPr>
            <w:tcW w:w="2530" w:type="dxa"/>
            <w:vAlign w:val="center"/>
          </w:tcPr>
          <w:p w:rsidR="00582D68" w:rsidRPr="00C701BF" w:rsidRDefault="00582D68" w:rsidP="00AA75EA">
            <w:pPr>
              <w:pStyle w:val="naiskr"/>
              <w:ind w:left="180" w:hanging="10"/>
            </w:pPr>
            <w:r w:rsidRPr="00C701BF">
              <w:t>Pamatojums</w:t>
            </w:r>
          </w:p>
        </w:tc>
        <w:tc>
          <w:tcPr>
            <w:tcW w:w="6385" w:type="dxa"/>
            <w:gridSpan w:val="2"/>
            <w:vAlign w:val="center"/>
          </w:tcPr>
          <w:p w:rsidR="00872243" w:rsidRPr="00C701BF" w:rsidRDefault="00541739" w:rsidP="00785717">
            <w:pPr>
              <w:jc w:val="both"/>
            </w:pPr>
            <w:r w:rsidRPr="00C701BF">
              <w:t>Eiropas Savienības struktūrfondu un Kohēzijas fonda vadības likuma 18.panta 10.punkts.</w:t>
            </w:r>
          </w:p>
        </w:tc>
      </w:tr>
      <w:tr w:rsidR="00582D68" w:rsidRPr="00C701BF" w:rsidTr="00214E1D">
        <w:trPr>
          <w:trHeight w:val="706"/>
          <w:tblCellSpacing w:w="0" w:type="dxa"/>
        </w:trPr>
        <w:tc>
          <w:tcPr>
            <w:tcW w:w="471" w:type="dxa"/>
            <w:vAlign w:val="center"/>
          </w:tcPr>
          <w:p w:rsidR="00582D68" w:rsidRPr="00C701BF" w:rsidRDefault="00582D68" w:rsidP="00AA75EA">
            <w:pPr>
              <w:pStyle w:val="naiskr"/>
              <w:jc w:val="center"/>
              <w:rPr>
                <w:sz w:val="22"/>
                <w:szCs w:val="22"/>
              </w:rPr>
            </w:pPr>
            <w:r w:rsidRPr="00C701BF">
              <w:rPr>
                <w:sz w:val="22"/>
                <w:szCs w:val="22"/>
              </w:rPr>
              <w:t>2.</w:t>
            </w:r>
          </w:p>
        </w:tc>
        <w:tc>
          <w:tcPr>
            <w:tcW w:w="2530" w:type="dxa"/>
            <w:vAlign w:val="center"/>
          </w:tcPr>
          <w:p w:rsidR="00582D68" w:rsidRPr="00B722FE" w:rsidRDefault="00B722FE" w:rsidP="00AA75EA">
            <w:pPr>
              <w:pStyle w:val="naiskr"/>
              <w:tabs>
                <w:tab w:val="left" w:pos="170"/>
              </w:tabs>
              <w:ind w:left="170"/>
            </w:pPr>
            <w:r w:rsidRPr="00B722FE">
              <w:t>Pašreizējā situācija un problēmas</w:t>
            </w:r>
          </w:p>
        </w:tc>
        <w:tc>
          <w:tcPr>
            <w:tcW w:w="6385" w:type="dxa"/>
            <w:gridSpan w:val="2"/>
            <w:vAlign w:val="center"/>
          </w:tcPr>
          <w:p w:rsidR="00DC49F4" w:rsidRDefault="00FC64D3" w:rsidP="00FC64D3">
            <w:pPr>
              <w:jc w:val="both"/>
            </w:pPr>
            <w:r w:rsidRPr="00C701BF">
              <w:t>2012.gada 1.janvārī ir uzsākta tehniskās palīdzības (</w:t>
            </w:r>
            <w:r w:rsidR="000D3943">
              <w:t xml:space="preserve">turpmāk - </w:t>
            </w:r>
            <w:r w:rsidRPr="00C701BF">
              <w:t>TP)  2. kārtas aktivitāšu īstenošana</w:t>
            </w:r>
            <w:r w:rsidR="00DC49F4">
              <w:t>.</w:t>
            </w:r>
          </w:p>
          <w:p w:rsidR="009A1D70" w:rsidRPr="00C701BF" w:rsidRDefault="00263B0D" w:rsidP="00FC64D3">
            <w:pPr>
              <w:jc w:val="both"/>
            </w:pPr>
            <w:r>
              <w:t xml:space="preserve">Ņemot vērā, ka MK noteikumos par TP 2.kārtu ir noteikta TP finansējuma rezerve </w:t>
            </w:r>
            <w:r w:rsidRPr="00C701BF">
              <w:t>(8 290 198 LVL ap</w:t>
            </w:r>
            <w:r w:rsidR="00DC49F4">
              <w:t>jomā</w:t>
            </w:r>
            <w:r w:rsidRPr="00C701BF">
              <w:t>)</w:t>
            </w:r>
            <w:r>
              <w:t xml:space="preserve">, tās pārdalei konkrētiem finansējuma saņēmējiem ir nepieciešami grozījumi MK noteikumos.   </w:t>
            </w:r>
          </w:p>
          <w:p w:rsidR="00FC64D3" w:rsidRPr="00C701BF" w:rsidRDefault="00263B0D" w:rsidP="00FC64D3">
            <w:pPr>
              <w:jc w:val="both"/>
            </w:pPr>
            <w:r>
              <w:t xml:space="preserve">Vairākiem </w:t>
            </w:r>
            <w:r w:rsidR="00C701BF">
              <w:t>TP projektiem</w:t>
            </w:r>
            <w:r w:rsidR="00FC64D3" w:rsidRPr="00C701BF">
              <w:t xml:space="preserve"> </w:t>
            </w:r>
            <w:r w:rsidR="00EC1BE9" w:rsidRPr="00C701BF">
              <w:t xml:space="preserve">sākotnēji pieejamais </w:t>
            </w:r>
            <w:r w:rsidR="00FC64D3" w:rsidRPr="00C701BF">
              <w:t xml:space="preserve">finansējums </w:t>
            </w:r>
            <w:r w:rsidR="00EC1BE9" w:rsidRPr="00C701BF">
              <w:t>ir nepietiekams projekta pabeigšanai līdz</w:t>
            </w:r>
            <w:r w:rsidR="00B8176A" w:rsidRPr="00C701BF">
              <w:t xml:space="preserve"> </w:t>
            </w:r>
            <w:r w:rsidR="00EC1BE9" w:rsidRPr="00C701BF">
              <w:t>2015.gada 31.</w:t>
            </w:r>
            <w:r>
              <w:t>d</w:t>
            </w:r>
            <w:r w:rsidR="00EC1BE9" w:rsidRPr="00C701BF">
              <w:t>ecembrim</w:t>
            </w:r>
            <w:r w:rsidR="0086105A">
              <w:t>, tāpēc</w:t>
            </w:r>
            <w:r w:rsidR="000D3943">
              <w:t>,</w:t>
            </w:r>
            <w:r w:rsidR="0086105A">
              <w:t xml:space="preserve"> lai nodrošinātu uzsākto projektu pēctecīgu  ieviešanu un to mērķu sasniegšanu,  ir savlaicīgi jāveic TP līdzekļu pārdale no rezerves.</w:t>
            </w:r>
          </w:p>
          <w:p w:rsidR="00FC64D3" w:rsidRPr="00C701BF" w:rsidRDefault="00C941F2" w:rsidP="00FB5359">
            <w:pPr>
              <w:jc w:val="both"/>
            </w:pPr>
            <w:r w:rsidRPr="00C701BF">
              <w:t xml:space="preserve">Lai nodrošinātu maksimāli efektīvu ES fondu līdzekļu izlietošanas uzraudzību un optimālu rezultātu sasniegšanu </w:t>
            </w:r>
            <w:r w:rsidR="00AE020E">
              <w:t xml:space="preserve">TP </w:t>
            </w:r>
            <w:r w:rsidRPr="00C701BF">
              <w:t xml:space="preserve">2.kārtā, ir nepieciešams precizēt ES fondu TP 2.kārtas projektu īstenošanas nosacījumus, precizējot regulējumu attiecībā uz ES fondu uzraudzību, </w:t>
            </w:r>
            <w:proofErr w:type="spellStart"/>
            <w:r w:rsidR="00AE020E">
              <w:t>t.sk</w:t>
            </w:r>
            <w:proofErr w:type="spellEnd"/>
            <w:r w:rsidR="00AE020E">
              <w:t xml:space="preserve">. atbalstāmajām darbībām  un </w:t>
            </w:r>
            <w:r w:rsidRPr="00C701BF">
              <w:t xml:space="preserve">izmaksu </w:t>
            </w:r>
            <w:proofErr w:type="spellStart"/>
            <w:r w:rsidRPr="00C701BF">
              <w:t>attiecināmību</w:t>
            </w:r>
            <w:proofErr w:type="spellEnd"/>
            <w:r w:rsidRPr="00C701BF">
              <w:t xml:space="preserve">, </w:t>
            </w:r>
            <w:r w:rsidR="00AE020E">
              <w:t xml:space="preserve"> TP finansējuma rezerves turpmāko  pieejamību, </w:t>
            </w:r>
            <w:r w:rsidRPr="00C701BF">
              <w:t xml:space="preserve">apmācību finansēšanu un citiem jautājumiem, </w:t>
            </w:r>
            <w:r w:rsidR="0086105A">
              <w:t xml:space="preserve">tādējādi </w:t>
            </w:r>
            <w:r w:rsidRPr="00C701BF">
              <w:t xml:space="preserve"> novēr</w:t>
            </w:r>
            <w:r w:rsidR="0086105A">
              <w:t>šot</w:t>
            </w:r>
            <w:r w:rsidRPr="00C701BF">
              <w:t xml:space="preserve"> izdevumu </w:t>
            </w:r>
            <w:proofErr w:type="spellStart"/>
            <w:r w:rsidRPr="00C701BF">
              <w:t>neattiecin</w:t>
            </w:r>
            <w:r w:rsidR="006348FC">
              <w:t>ā</w:t>
            </w:r>
            <w:r w:rsidRPr="00C701BF">
              <w:t>mības</w:t>
            </w:r>
            <w:proofErr w:type="spellEnd"/>
            <w:r w:rsidRPr="00C701BF">
              <w:t xml:space="preserve"> riskus nākotnē un nodrošinātu sekmīgu ES fondu apguvi.</w:t>
            </w:r>
          </w:p>
        </w:tc>
      </w:tr>
      <w:tr w:rsidR="00582D68" w:rsidRPr="00C701BF" w:rsidTr="004338F2">
        <w:trPr>
          <w:trHeight w:val="289"/>
          <w:tblCellSpacing w:w="0" w:type="dxa"/>
        </w:trPr>
        <w:tc>
          <w:tcPr>
            <w:tcW w:w="471" w:type="dxa"/>
            <w:vAlign w:val="center"/>
          </w:tcPr>
          <w:p w:rsidR="00582D68" w:rsidRPr="00C701BF" w:rsidRDefault="00582D68" w:rsidP="00AA75EA">
            <w:pPr>
              <w:pStyle w:val="naiskr"/>
              <w:jc w:val="center"/>
              <w:rPr>
                <w:sz w:val="22"/>
                <w:szCs w:val="22"/>
              </w:rPr>
            </w:pPr>
            <w:r w:rsidRPr="00C701BF">
              <w:rPr>
                <w:sz w:val="22"/>
                <w:szCs w:val="22"/>
              </w:rPr>
              <w:t>3.</w:t>
            </w:r>
          </w:p>
        </w:tc>
        <w:tc>
          <w:tcPr>
            <w:tcW w:w="2530" w:type="dxa"/>
            <w:vAlign w:val="center"/>
          </w:tcPr>
          <w:p w:rsidR="00582D68" w:rsidRPr="00C701BF" w:rsidRDefault="00582D68" w:rsidP="00AA75EA">
            <w:pPr>
              <w:pStyle w:val="naiskr"/>
              <w:ind w:left="170"/>
            </w:pPr>
            <w:r w:rsidRPr="00C701BF">
              <w:t>Saistītie politikas ietekmes novērtējumi un pētījumi</w:t>
            </w:r>
          </w:p>
        </w:tc>
        <w:tc>
          <w:tcPr>
            <w:tcW w:w="6385" w:type="dxa"/>
            <w:gridSpan w:val="2"/>
            <w:vAlign w:val="center"/>
          </w:tcPr>
          <w:p w:rsidR="00582D68" w:rsidRPr="00842DCE" w:rsidRDefault="008D1831" w:rsidP="0061555A">
            <w:pPr>
              <w:pStyle w:val="FootnoteText"/>
              <w:ind w:left="170" w:right="170"/>
              <w:rPr>
                <w:sz w:val="24"/>
                <w:szCs w:val="24"/>
              </w:rPr>
            </w:pPr>
            <w:r w:rsidRPr="00842DCE">
              <w:rPr>
                <w:iCs/>
                <w:sz w:val="24"/>
                <w:szCs w:val="24"/>
              </w:rPr>
              <w:t>Projekts šo jomu neskar</w:t>
            </w:r>
            <w:r w:rsidR="005F1D8F">
              <w:rPr>
                <w:iCs/>
                <w:sz w:val="24"/>
                <w:szCs w:val="24"/>
              </w:rPr>
              <w:t>.</w:t>
            </w:r>
          </w:p>
        </w:tc>
      </w:tr>
      <w:tr w:rsidR="00582D68" w:rsidRPr="00C701BF" w:rsidTr="00214E1D">
        <w:trPr>
          <w:trHeight w:val="725"/>
          <w:tblCellSpacing w:w="0" w:type="dxa"/>
        </w:trPr>
        <w:tc>
          <w:tcPr>
            <w:tcW w:w="471" w:type="dxa"/>
            <w:vAlign w:val="center"/>
          </w:tcPr>
          <w:p w:rsidR="00582D68" w:rsidRPr="00C701BF" w:rsidRDefault="00582D68" w:rsidP="00AA75EA">
            <w:pPr>
              <w:pStyle w:val="naiskr"/>
              <w:jc w:val="center"/>
              <w:rPr>
                <w:sz w:val="22"/>
                <w:szCs w:val="22"/>
              </w:rPr>
            </w:pPr>
            <w:r w:rsidRPr="00C701BF">
              <w:rPr>
                <w:sz w:val="22"/>
                <w:szCs w:val="22"/>
              </w:rPr>
              <w:t>4.</w:t>
            </w:r>
          </w:p>
        </w:tc>
        <w:tc>
          <w:tcPr>
            <w:tcW w:w="2530" w:type="dxa"/>
            <w:vAlign w:val="center"/>
          </w:tcPr>
          <w:p w:rsidR="00582D68" w:rsidRPr="00C701BF" w:rsidRDefault="00582D68" w:rsidP="00AA75EA">
            <w:pPr>
              <w:pStyle w:val="naiskr"/>
              <w:ind w:left="170"/>
            </w:pPr>
            <w:r w:rsidRPr="00C701BF">
              <w:t>Tiesiskā regulējuma mērķis un būtība</w:t>
            </w:r>
          </w:p>
          <w:p w:rsidR="00582D68" w:rsidRPr="00C701BF" w:rsidRDefault="00582D68" w:rsidP="00AA75EA">
            <w:pPr>
              <w:pStyle w:val="naiskr"/>
              <w:ind w:left="360" w:hanging="360"/>
              <w:rPr>
                <w:sz w:val="22"/>
                <w:szCs w:val="22"/>
              </w:rPr>
            </w:pPr>
          </w:p>
          <w:p w:rsidR="00582D68" w:rsidRPr="00C701BF" w:rsidRDefault="00582D68" w:rsidP="00AA75EA">
            <w:pPr>
              <w:pStyle w:val="naiskr"/>
              <w:ind w:left="170"/>
              <w:rPr>
                <w:sz w:val="22"/>
                <w:szCs w:val="22"/>
              </w:rPr>
            </w:pPr>
          </w:p>
        </w:tc>
        <w:tc>
          <w:tcPr>
            <w:tcW w:w="6385" w:type="dxa"/>
            <w:gridSpan w:val="2"/>
            <w:vAlign w:val="center"/>
          </w:tcPr>
          <w:p w:rsidR="001014CE" w:rsidRPr="00C701BF" w:rsidRDefault="001014CE" w:rsidP="001014CE">
            <w:pPr>
              <w:jc w:val="both"/>
            </w:pPr>
            <w:r w:rsidRPr="00C701BF">
              <w:t xml:space="preserve">Tiesiskā regulējuma mērķis ir nodrošināt </w:t>
            </w:r>
            <w:r w:rsidR="005924C7" w:rsidRPr="00C701BF">
              <w:t xml:space="preserve">efektīvu </w:t>
            </w:r>
            <w:r w:rsidRPr="00C701BF">
              <w:t xml:space="preserve">Eiropas Savienības fondu </w:t>
            </w:r>
            <w:r w:rsidR="003D2A40">
              <w:t>TP</w:t>
            </w:r>
            <w:r w:rsidR="00333C34" w:rsidRPr="00C701BF">
              <w:t xml:space="preserve"> aktivitāšu</w:t>
            </w:r>
            <w:r w:rsidRPr="00C701BF">
              <w:t xml:space="preserve"> īstenošanu laika posmā no 2012.gada 1.janv</w:t>
            </w:r>
            <w:r w:rsidR="00873CC0" w:rsidRPr="00C701BF">
              <w:t>āra līdz 2015.gada 31.decembrim.</w:t>
            </w:r>
            <w:r w:rsidRPr="00C701BF">
              <w:t xml:space="preserve"> Ministru kabineta noteikumu projekts </w:t>
            </w:r>
            <w:r w:rsidR="0061555A">
              <w:t>paredz</w:t>
            </w:r>
            <w:r w:rsidRPr="00C701BF">
              <w:t>:</w:t>
            </w:r>
          </w:p>
          <w:p w:rsidR="0044046C" w:rsidRDefault="00873CC0" w:rsidP="00873CC0">
            <w:pPr>
              <w:pStyle w:val="ListParagraph"/>
              <w:numPr>
                <w:ilvl w:val="0"/>
                <w:numId w:val="22"/>
              </w:numPr>
              <w:spacing w:before="120"/>
              <w:jc w:val="both"/>
              <w:rPr>
                <w:lang w:val="lv-LV"/>
              </w:rPr>
            </w:pPr>
            <w:r w:rsidRPr="00C701BF">
              <w:rPr>
                <w:lang w:val="lv-LV"/>
              </w:rPr>
              <w:t>precizēt MK noteikumu Nr.694  8. punkt</w:t>
            </w:r>
            <w:r w:rsidR="0061555A">
              <w:rPr>
                <w:lang w:val="lv-LV"/>
              </w:rPr>
              <w:t>u</w:t>
            </w:r>
            <w:r w:rsidRPr="00C701BF">
              <w:rPr>
                <w:lang w:val="lv-LV"/>
              </w:rPr>
              <w:t xml:space="preserve"> attiecībā  uz </w:t>
            </w:r>
            <w:r w:rsidR="00EC1BE9" w:rsidRPr="00C701BF">
              <w:rPr>
                <w:lang w:val="lv-LV"/>
              </w:rPr>
              <w:t xml:space="preserve">TP </w:t>
            </w:r>
            <w:r w:rsidRPr="00C701BF">
              <w:rPr>
                <w:lang w:val="lv-LV"/>
              </w:rPr>
              <w:t xml:space="preserve">2.kārtai pieejamo finansējuma rezervi laika posmam no </w:t>
            </w:r>
            <w:r w:rsidRPr="00C701BF">
              <w:rPr>
                <w:lang w:val="lv-LV"/>
              </w:rPr>
              <w:lastRenderedPageBreak/>
              <w:t>2012.gada 1.janvāra līdz 2015.gada 31.</w:t>
            </w:r>
            <w:r w:rsidR="000C5C79">
              <w:rPr>
                <w:lang w:val="lv-LV"/>
              </w:rPr>
              <w:t>d</w:t>
            </w:r>
            <w:r w:rsidRPr="00C701BF">
              <w:rPr>
                <w:lang w:val="lv-LV"/>
              </w:rPr>
              <w:t>ecembrim</w:t>
            </w:r>
            <w:r w:rsidR="000C5C79">
              <w:rPr>
                <w:lang w:val="lv-LV"/>
              </w:rPr>
              <w:t>, tādējādi saglabājot TP saņēmējiem iespēju nepieciešamības gadījumā pretendēt uz rezerves pārdali arī nākotnē</w:t>
            </w:r>
            <w:r w:rsidR="00AE020E">
              <w:rPr>
                <w:lang w:val="lv-LV"/>
              </w:rPr>
              <w:t>, k</w:t>
            </w:r>
            <w:r w:rsidR="003D2A40">
              <w:rPr>
                <w:lang w:val="lv-LV"/>
              </w:rPr>
              <w:t>ā</w:t>
            </w:r>
            <w:r w:rsidR="00AE020E">
              <w:rPr>
                <w:lang w:val="lv-LV"/>
              </w:rPr>
              <w:t xml:space="preserve"> prioritāti nosakot finansējuma saņēmēja iesaisti 2014. – 2020.gada plānošanas perioda sagatavošana un uzsākšanā</w:t>
            </w:r>
            <w:r w:rsidR="0061555A">
              <w:rPr>
                <w:lang w:val="lv-LV"/>
              </w:rPr>
              <w:t>;</w:t>
            </w:r>
          </w:p>
          <w:p w:rsidR="00873CC0" w:rsidRDefault="00873CC0" w:rsidP="00873CC0">
            <w:pPr>
              <w:pStyle w:val="ListParagraph"/>
              <w:numPr>
                <w:ilvl w:val="0"/>
                <w:numId w:val="22"/>
              </w:numPr>
              <w:spacing w:before="120"/>
              <w:jc w:val="both"/>
              <w:rPr>
                <w:lang w:val="lv-LV"/>
              </w:rPr>
            </w:pPr>
            <w:r w:rsidRPr="00C701BF">
              <w:rPr>
                <w:lang w:val="lv-LV"/>
              </w:rPr>
              <w:t xml:space="preserve">precizēt </w:t>
            </w:r>
            <w:r w:rsidR="00EC1BE9" w:rsidRPr="00C701BF">
              <w:rPr>
                <w:lang w:val="lv-LV"/>
              </w:rPr>
              <w:t xml:space="preserve">TP </w:t>
            </w:r>
            <w:r w:rsidRPr="00C701BF">
              <w:rPr>
                <w:lang w:val="lv-LV"/>
              </w:rPr>
              <w:t>aktivitāšu izdevumu deklarēšanas proporcij</w:t>
            </w:r>
            <w:r w:rsidR="00FB5359">
              <w:rPr>
                <w:lang w:val="lv-LV"/>
              </w:rPr>
              <w:t>u</w:t>
            </w:r>
            <w:r w:rsidRPr="00C701BF">
              <w:rPr>
                <w:lang w:val="lv-LV"/>
              </w:rPr>
              <w:t xml:space="preserve"> (MK noteikumu Nr.694 1.pielikums) un maksimāli pieejam</w:t>
            </w:r>
            <w:r w:rsidR="00FB5359">
              <w:rPr>
                <w:lang w:val="lv-LV"/>
              </w:rPr>
              <w:t xml:space="preserve">o </w:t>
            </w:r>
            <w:r w:rsidRPr="00C701BF">
              <w:rPr>
                <w:lang w:val="lv-LV"/>
              </w:rPr>
              <w:t>finansējuma apmēr</w:t>
            </w:r>
            <w:r w:rsidR="00FB5359">
              <w:rPr>
                <w:lang w:val="lv-LV"/>
              </w:rPr>
              <w:t>u</w:t>
            </w:r>
            <w:r w:rsidRPr="00C701BF">
              <w:rPr>
                <w:lang w:val="lv-LV"/>
              </w:rPr>
              <w:t xml:space="preserve"> projektu iesniegumu atlases </w:t>
            </w:r>
            <w:r w:rsidR="00EC1BE9" w:rsidRPr="00C701BF">
              <w:rPr>
                <w:lang w:val="lv-LV"/>
              </w:rPr>
              <w:t>2.</w:t>
            </w:r>
            <w:r w:rsidRPr="00C701BF">
              <w:rPr>
                <w:lang w:val="lv-LV"/>
              </w:rPr>
              <w:t>kārtai (MK noteikumu Nr.694 2. pielikums)</w:t>
            </w:r>
            <w:r w:rsidR="0061555A">
              <w:rPr>
                <w:lang w:val="lv-LV"/>
              </w:rPr>
              <w:t>;</w:t>
            </w:r>
          </w:p>
          <w:p w:rsidR="0086105A" w:rsidRPr="00C701BF" w:rsidRDefault="000C5C79" w:rsidP="00873CC0">
            <w:pPr>
              <w:pStyle w:val="ListParagraph"/>
              <w:numPr>
                <w:ilvl w:val="0"/>
                <w:numId w:val="22"/>
              </w:numPr>
              <w:spacing w:before="120"/>
              <w:jc w:val="both"/>
              <w:rPr>
                <w:lang w:val="lv-LV"/>
              </w:rPr>
            </w:pPr>
            <w:r>
              <w:rPr>
                <w:lang w:val="lv-LV"/>
              </w:rPr>
              <w:t xml:space="preserve">precizēt sadarbības iestādes veicamās funkcijas attiecībā uz reprezentatīvo materiālu iepirkumiem un izdevumu deklarācijas apstiprināšanu atbilstoši </w:t>
            </w:r>
            <w:r w:rsidR="00CB2942">
              <w:rPr>
                <w:lang w:val="lv-LV"/>
              </w:rPr>
              <w:t>grozījum</w:t>
            </w:r>
            <w:r w:rsidR="0061555A">
              <w:rPr>
                <w:lang w:val="lv-LV"/>
              </w:rPr>
              <w:t>iem</w:t>
            </w:r>
            <w:r w:rsidR="00CB2942">
              <w:rPr>
                <w:lang w:val="lv-LV"/>
              </w:rPr>
              <w:t xml:space="preserve"> </w:t>
            </w:r>
            <w:r>
              <w:rPr>
                <w:lang w:val="lv-LV"/>
              </w:rPr>
              <w:t>normatīvaj</w:t>
            </w:r>
            <w:r w:rsidR="00CB2942">
              <w:rPr>
                <w:lang w:val="lv-LV"/>
              </w:rPr>
              <w:t xml:space="preserve">os </w:t>
            </w:r>
            <w:r>
              <w:rPr>
                <w:lang w:val="lv-LV"/>
              </w:rPr>
              <w:t xml:space="preserve"> akt</w:t>
            </w:r>
            <w:r w:rsidR="00CB2942">
              <w:rPr>
                <w:lang w:val="lv-LV"/>
              </w:rPr>
              <w:t>os</w:t>
            </w:r>
            <w:r>
              <w:rPr>
                <w:lang w:val="lv-LV"/>
              </w:rPr>
              <w:t xml:space="preserve"> par ES fondu vadību</w:t>
            </w:r>
            <w:r w:rsidR="0061555A">
              <w:rPr>
                <w:lang w:val="lv-LV"/>
              </w:rPr>
              <w:t>.</w:t>
            </w:r>
            <w:r>
              <w:rPr>
                <w:lang w:val="lv-LV"/>
              </w:rPr>
              <w:t xml:space="preserve"> </w:t>
            </w:r>
          </w:p>
          <w:p w:rsidR="005104F8" w:rsidRPr="00C701BF" w:rsidRDefault="00F8199C" w:rsidP="005104F8">
            <w:pPr>
              <w:pStyle w:val="ListParagraph"/>
              <w:numPr>
                <w:ilvl w:val="0"/>
                <w:numId w:val="22"/>
              </w:numPr>
              <w:rPr>
                <w:lang w:val="lv-LV"/>
              </w:rPr>
            </w:pPr>
            <w:r w:rsidRPr="00C701BF">
              <w:rPr>
                <w:lang w:val="lv-LV"/>
              </w:rPr>
              <w:t>precizēt</w:t>
            </w:r>
            <w:r w:rsidR="00EC1BE9" w:rsidRPr="00C701BF">
              <w:rPr>
                <w:lang w:val="lv-LV"/>
              </w:rPr>
              <w:t xml:space="preserve"> TP </w:t>
            </w:r>
            <w:r w:rsidRPr="00C701BF">
              <w:rPr>
                <w:bCs/>
                <w:lang w:val="lv-LV" w:eastAsia="ar-SA"/>
              </w:rPr>
              <w:t>projekta budžeta kopsavilkum</w:t>
            </w:r>
            <w:r w:rsidR="00EC1BE9" w:rsidRPr="00C701BF">
              <w:rPr>
                <w:bCs/>
                <w:lang w:val="lv-LV" w:eastAsia="ar-SA"/>
              </w:rPr>
              <w:t>a veidlap</w:t>
            </w:r>
            <w:r w:rsidR="0061555A">
              <w:rPr>
                <w:bCs/>
                <w:lang w:val="lv-LV" w:eastAsia="ar-SA"/>
              </w:rPr>
              <w:t>u</w:t>
            </w:r>
            <w:r w:rsidR="005F1D8F">
              <w:rPr>
                <w:lang w:val="lv-LV"/>
              </w:rPr>
              <w:t xml:space="preserve"> (MK noteikumu Nr.</w:t>
            </w:r>
            <w:r w:rsidRPr="00C701BF">
              <w:rPr>
                <w:lang w:val="lv-LV"/>
              </w:rPr>
              <w:t>694 3</w:t>
            </w:r>
            <w:r w:rsidR="00214E1D" w:rsidRPr="00C701BF">
              <w:rPr>
                <w:lang w:val="lv-LV"/>
              </w:rPr>
              <w:t>.</w:t>
            </w:r>
            <w:r w:rsidRPr="00C701BF">
              <w:rPr>
                <w:lang w:val="lv-LV"/>
              </w:rPr>
              <w:t xml:space="preserve"> tabula)</w:t>
            </w:r>
            <w:r w:rsidR="0061555A">
              <w:rPr>
                <w:lang w:val="lv-LV"/>
              </w:rPr>
              <w:t>;</w:t>
            </w:r>
          </w:p>
          <w:p w:rsidR="004338F2" w:rsidRDefault="00873CC0" w:rsidP="00AE020E">
            <w:pPr>
              <w:pStyle w:val="ListParagraph"/>
              <w:numPr>
                <w:ilvl w:val="0"/>
                <w:numId w:val="22"/>
              </w:numPr>
              <w:spacing w:before="120"/>
              <w:jc w:val="both"/>
              <w:rPr>
                <w:lang w:val="lv-LV"/>
              </w:rPr>
            </w:pPr>
            <w:r w:rsidRPr="00C701BF">
              <w:rPr>
                <w:lang w:val="lv-LV"/>
              </w:rPr>
              <w:t>precizēt MK noteikumu Nr.694 regulējum</w:t>
            </w:r>
            <w:r w:rsidR="0061555A">
              <w:rPr>
                <w:lang w:val="lv-LV"/>
              </w:rPr>
              <w:t>u</w:t>
            </w:r>
            <w:r w:rsidRPr="00C701BF">
              <w:rPr>
                <w:lang w:val="lv-LV"/>
              </w:rPr>
              <w:t xml:space="preserve"> attiecībā uz apmācību finansēšanu, izmaksu </w:t>
            </w:r>
            <w:proofErr w:type="spellStart"/>
            <w:r w:rsidRPr="00C701BF">
              <w:rPr>
                <w:lang w:val="lv-LV"/>
              </w:rPr>
              <w:t>attiecināmību</w:t>
            </w:r>
            <w:proofErr w:type="spellEnd"/>
            <w:r w:rsidRPr="00C701BF">
              <w:rPr>
                <w:lang w:val="lv-LV"/>
              </w:rPr>
              <w:t xml:space="preserve"> un citiem </w:t>
            </w:r>
            <w:r w:rsidR="00EC1BE9" w:rsidRPr="00C701BF">
              <w:rPr>
                <w:lang w:val="lv-LV"/>
              </w:rPr>
              <w:t xml:space="preserve">TP </w:t>
            </w:r>
            <w:r w:rsidRPr="00C701BF">
              <w:rPr>
                <w:lang w:val="lv-LV"/>
              </w:rPr>
              <w:t>projektu īstenošanas nosacījumiem.</w:t>
            </w:r>
          </w:p>
          <w:p w:rsidR="000229B3" w:rsidRPr="004338F2" w:rsidRDefault="00AE020E" w:rsidP="004338F2">
            <w:pPr>
              <w:spacing w:before="120"/>
              <w:jc w:val="both"/>
            </w:pPr>
            <w:r>
              <w:t xml:space="preserve">MK noteikumu grozījumos veiktie </w:t>
            </w:r>
            <w:r w:rsidR="000229B3">
              <w:t xml:space="preserve">redakcionālie </w:t>
            </w:r>
            <w:r>
              <w:t>precizējumi attiecībā</w:t>
            </w:r>
            <w:r w:rsidR="000229B3">
              <w:t xml:space="preserve"> </w:t>
            </w:r>
            <w:r>
              <w:t xml:space="preserve"> uz atbalstāmajām darbībām</w:t>
            </w:r>
            <w:r w:rsidR="000229B3">
              <w:t xml:space="preserve"> ir saistīti galvenokārt ar 2014.</w:t>
            </w:r>
            <w:r w:rsidR="0061555A">
              <w:t xml:space="preserve"> </w:t>
            </w:r>
            <w:r w:rsidR="000229B3">
              <w:t>-</w:t>
            </w:r>
            <w:r w:rsidR="0061555A">
              <w:t xml:space="preserve"> </w:t>
            </w:r>
            <w:r w:rsidR="000229B3">
              <w:t>2020.</w:t>
            </w:r>
            <w:r w:rsidR="005F1D8F">
              <w:t>gada plānošanas</w:t>
            </w:r>
            <w:r w:rsidR="000229B3">
              <w:t xml:space="preserve"> perioda sagatavošanā un uzsākšanā veicamajām  funkcijām un darbībām. Šie jautājumi ir plaši  skaidroti TP saņēmējiem dažādos forumos, tostarp </w:t>
            </w:r>
            <w:r w:rsidR="006348FC">
              <w:t>Eiropas Savienības Kohēzijas politikas nākotnes darba grupā, kurā pārstāvētas visas  atbildīg</w:t>
            </w:r>
            <w:r w:rsidR="00CB2942">
              <w:t>ā</w:t>
            </w:r>
            <w:r w:rsidR="006348FC">
              <w:t xml:space="preserve">s  iestādes.  </w:t>
            </w:r>
          </w:p>
          <w:p w:rsidR="00214E1D" w:rsidRPr="00C701BF" w:rsidRDefault="00214E1D" w:rsidP="00FB5359">
            <w:pPr>
              <w:spacing w:before="120"/>
              <w:jc w:val="both"/>
            </w:pPr>
            <w:r w:rsidRPr="00C701BF">
              <w:rPr>
                <w:bCs/>
              </w:rPr>
              <w:t>MK noteikumu 3.tabulā „Projekta budžeta kopsavilkums” veikto precizējumu dēļ pielāgojumi būs nepieciešami TP 2.kārtas projektos,</w:t>
            </w:r>
            <w:r w:rsidR="0004757A">
              <w:rPr>
                <w:bCs/>
              </w:rPr>
              <w:t xml:space="preserve"> kuros ir  mainījies kopējais finansējums vai ir veicamas citas izmaiņas. L</w:t>
            </w:r>
            <w:r w:rsidRPr="00C701BF">
              <w:rPr>
                <w:bCs/>
              </w:rPr>
              <w:t>ai novērstu lieku administratīvo slogu</w:t>
            </w:r>
            <w:r w:rsidR="0004757A">
              <w:rPr>
                <w:bCs/>
              </w:rPr>
              <w:t xml:space="preserve"> šādu </w:t>
            </w:r>
            <w:r w:rsidR="007B751B">
              <w:rPr>
                <w:bCs/>
              </w:rPr>
              <w:t xml:space="preserve">ārpuskārtas </w:t>
            </w:r>
            <w:r w:rsidR="0004757A">
              <w:rPr>
                <w:bCs/>
              </w:rPr>
              <w:t>grozījumu virzībā saskaņošanai sadarbības iestādē</w:t>
            </w:r>
            <w:r w:rsidRPr="00C701BF">
              <w:rPr>
                <w:bCs/>
              </w:rPr>
              <w:t xml:space="preserve">, atbilstošus precizējumus </w:t>
            </w:r>
            <w:r w:rsidR="00FB5359">
              <w:rPr>
                <w:bCs/>
              </w:rPr>
              <w:t xml:space="preserve">finansējuma saņēmējiem </w:t>
            </w:r>
            <w:r w:rsidRPr="00C701BF">
              <w:rPr>
                <w:bCs/>
              </w:rPr>
              <w:t xml:space="preserve">būs jāiesniedz sadarbības iestādē līdz ar </w:t>
            </w:r>
            <w:r w:rsidR="0004757A">
              <w:rPr>
                <w:bCs/>
              </w:rPr>
              <w:t>kārtējiem</w:t>
            </w:r>
            <w:r w:rsidR="00CB2942">
              <w:rPr>
                <w:bCs/>
              </w:rPr>
              <w:t xml:space="preserve"> </w:t>
            </w:r>
            <w:r w:rsidR="007B751B">
              <w:rPr>
                <w:bCs/>
              </w:rPr>
              <w:t>(pirmajiem)</w:t>
            </w:r>
            <w:r w:rsidR="0004757A">
              <w:rPr>
                <w:bCs/>
              </w:rPr>
              <w:t xml:space="preserve">  </w:t>
            </w:r>
            <w:r w:rsidRPr="00C701BF">
              <w:rPr>
                <w:bCs/>
              </w:rPr>
              <w:t>grozījumiem TP projektā, bet ne vēlāk kā līdz 2013.gada 31.decembrim.</w:t>
            </w:r>
          </w:p>
        </w:tc>
      </w:tr>
      <w:tr w:rsidR="00582D68" w:rsidRPr="00C701BF" w:rsidTr="00214E1D">
        <w:trPr>
          <w:trHeight w:val="476"/>
          <w:tblCellSpacing w:w="0" w:type="dxa"/>
        </w:trPr>
        <w:tc>
          <w:tcPr>
            <w:tcW w:w="471" w:type="dxa"/>
            <w:vAlign w:val="center"/>
          </w:tcPr>
          <w:p w:rsidR="00582D68" w:rsidRPr="00C701BF" w:rsidRDefault="00582D68" w:rsidP="00AA75EA">
            <w:pPr>
              <w:pStyle w:val="naiskr"/>
              <w:jc w:val="center"/>
              <w:rPr>
                <w:sz w:val="22"/>
                <w:szCs w:val="22"/>
              </w:rPr>
            </w:pPr>
            <w:r w:rsidRPr="00C701BF">
              <w:rPr>
                <w:sz w:val="22"/>
                <w:szCs w:val="22"/>
              </w:rPr>
              <w:lastRenderedPageBreak/>
              <w:t>5.</w:t>
            </w:r>
          </w:p>
        </w:tc>
        <w:tc>
          <w:tcPr>
            <w:tcW w:w="2530" w:type="dxa"/>
            <w:vAlign w:val="center"/>
          </w:tcPr>
          <w:p w:rsidR="00582D68" w:rsidRPr="00C701BF" w:rsidRDefault="00582D68" w:rsidP="00AA75EA">
            <w:pPr>
              <w:pStyle w:val="naiskr"/>
              <w:ind w:left="170"/>
            </w:pPr>
            <w:r w:rsidRPr="00C701BF">
              <w:t xml:space="preserve">Projekta izstrādē iesaistītās institūcijas </w:t>
            </w:r>
          </w:p>
        </w:tc>
        <w:tc>
          <w:tcPr>
            <w:tcW w:w="6385" w:type="dxa"/>
            <w:gridSpan w:val="2"/>
            <w:vAlign w:val="center"/>
          </w:tcPr>
          <w:p w:rsidR="009F2E07" w:rsidRPr="00C701BF" w:rsidRDefault="008D1831" w:rsidP="003E5A52">
            <w:pPr>
              <w:autoSpaceDE w:val="0"/>
              <w:autoSpaceDN w:val="0"/>
              <w:adjustRightInd w:val="0"/>
              <w:ind w:right="170"/>
            </w:pPr>
            <w:r w:rsidRPr="00C701BF">
              <w:t>Projekts šo jomu neskar</w:t>
            </w:r>
            <w:r w:rsidR="002A5D3E" w:rsidRPr="00C701BF">
              <w:t>.</w:t>
            </w:r>
          </w:p>
        </w:tc>
      </w:tr>
      <w:tr w:rsidR="00582D68" w:rsidRPr="00C701BF" w:rsidTr="00214E1D">
        <w:trPr>
          <w:trHeight w:val="60"/>
          <w:tblCellSpacing w:w="0" w:type="dxa"/>
        </w:trPr>
        <w:tc>
          <w:tcPr>
            <w:tcW w:w="471" w:type="dxa"/>
            <w:vAlign w:val="center"/>
          </w:tcPr>
          <w:p w:rsidR="00582D68" w:rsidRPr="00C701BF" w:rsidRDefault="00582D68" w:rsidP="00AA75EA">
            <w:pPr>
              <w:pStyle w:val="naiskr"/>
              <w:jc w:val="center"/>
              <w:rPr>
                <w:sz w:val="22"/>
                <w:szCs w:val="22"/>
              </w:rPr>
            </w:pPr>
            <w:r w:rsidRPr="00C701BF">
              <w:rPr>
                <w:sz w:val="22"/>
                <w:szCs w:val="22"/>
              </w:rPr>
              <w:t>6.</w:t>
            </w:r>
          </w:p>
        </w:tc>
        <w:tc>
          <w:tcPr>
            <w:tcW w:w="2530" w:type="dxa"/>
            <w:vAlign w:val="center"/>
          </w:tcPr>
          <w:p w:rsidR="00582D68" w:rsidRPr="00C701BF" w:rsidRDefault="00582D68" w:rsidP="00AA75EA">
            <w:pPr>
              <w:pStyle w:val="naiskr"/>
              <w:ind w:left="170"/>
              <w:rPr>
                <w:i/>
                <w:highlight w:val="yellow"/>
              </w:rPr>
            </w:pPr>
            <w:r w:rsidRPr="00C701BF">
              <w:t>Iemesli, kādēļ netika nodrošināta sabiedrības līdzdalība</w:t>
            </w:r>
          </w:p>
        </w:tc>
        <w:tc>
          <w:tcPr>
            <w:tcW w:w="6385" w:type="dxa"/>
            <w:gridSpan w:val="2"/>
            <w:vAlign w:val="center"/>
          </w:tcPr>
          <w:p w:rsidR="00880410" w:rsidRPr="00C701BF" w:rsidRDefault="006D3754" w:rsidP="00880410">
            <w:pPr>
              <w:pStyle w:val="naiskr"/>
              <w:ind w:right="170"/>
              <w:jc w:val="both"/>
            </w:pPr>
            <w:r w:rsidRPr="00C701BF">
              <w:t xml:space="preserve">Noteikumu projekts attiecas tikai uz </w:t>
            </w:r>
            <w:r w:rsidR="00542526" w:rsidRPr="00C701BF">
              <w:t xml:space="preserve">šo </w:t>
            </w:r>
            <w:r w:rsidRPr="00C701BF">
              <w:t>noteikumu 14.1., 14.2</w:t>
            </w:r>
            <w:r w:rsidR="000E3851" w:rsidRPr="00C701BF">
              <w:t>.</w:t>
            </w:r>
            <w:r w:rsidRPr="00C701BF">
              <w:t xml:space="preserve"> un 14.3.apakšpunktā m</w:t>
            </w:r>
            <w:r w:rsidR="00C265A7" w:rsidRPr="00C701BF">
              <w:t>inētajām institūcijām, līdz ar t</w:t>
            </w:r>
            <w:r w:rsidRPr="00C701BF">
              <w:t>o sabiedrības līdzdalība nav bijusi nepieciešama.</w:t>
            </w:r>
          </w:p>
        </w:tc>
      </w:tr>
      <w:tr w:rsidR="00582D68" w:rsidRPr="00C701BF" w:rsidTr="00214E1D">
        <w:trPr>
          <w:tblCellSpacing w:w="0" w:type="dxa"/>
        </w:trPr>
        <w:tc>
          <w:tcPr>
            <w:tcW w:w="471" w:type="dxa"/>
            <w:vAlign w:val="center"/>
          </w:tcPr>
          <w:p w:rsidR="00582D68" w:rsidRPr="00C701BF" w:rsidRDefault="00582D68" w:rsidP="00AA75EA">
            <w:pPr>
              <w:pStyle w:val="naiskr"/>
              <w:jc w:val="center"/>
              <w:rPr>
                <w:sz w:val="22"/>
                <w:szCs w:val="22"/>
              </w:rPr>
            </w:pPr>
            <w:r w:rsidRPr="00C701BF">
              <w:rPr>
                <w:sz w:val="22"/>
                <w:szCs w:val="22"/>
              </w:rPr>
              <w:t>7.</w:t>
            </w:r>
          </w:p>
        </w:tc>
        <w:tc>
          <w:tcPr>
            <w:tcW w:w="2530" w:type="dxa"/>
            <w:vAlign w:val="center"/>
          </w:tcPr>
          <w:p w:rsidR="00582D68" w:rsidRPr="00C701BF" w:rsidRDefault="00582D68" w:rsidP="00AA75EA">
            <w:pPr>
              <w:pStyle w:val="naiskr"/>
              <w:ind w:left="170"/>
            </w:pPr>
            <w:r w:rsidRPr="00C701BF">
              <w:t>Cita informācija</w:t>
            </w:r>
          </w:p>
        </w:tc>
        <w:tc>
          <w:tcPr>
            <w:tcW w:w="6385" w:type="dxa"/>
            <w:gridSpan w:val="2"/>
            <w:vAlign w:val="center"/>
          </w:tcPr>
          <w:p w:rsidR="00B66C58" w:rsidRPr="00C701BF" w:rsidRDefault="00BC11CA" w:rsidP="005104F8">
            <w:pPr>
              <w:jc w:val="both"/>
              <w:rPr>
                <w:bCs/>
              </w:rPr>
            </w:pPr>
            <w:r w:rsidRPr="00C701BF">
              <w:rPr>
                <w:bCs/>
              </w:rPr>
              <w:t xml:space="preserve">Izstrādājot </w:t>
            </w:r>
            <w:r w:rsidR="00C04243" w:rsidRPr="00C701BF">
              <w:rPr>
                <w:bCs/>
              </w:rPr>
              <w:t>MK noteikumu</w:t>
            </w:r>
            <w:r w:rsidR="00DD4C55" w:rsidRPr="00C701BF">
              <w:rPr>
                <w:bCs/>
              </w:rPr>
              <w:t xml:space="preserve"> Nr.694 </w:t>
            </w:r>
            <w:r w:rsidR="00DD4C55" w:rsidRPr="00C701BF">
              <w:t xml:space="preserve"> </w:t>
            </w:r>
            <w:r w:rsidR="00C04243" w:rsidRPr="00C701BF">
              <w:rPr>
                <w:bCs/>
              </w:rPr>
              <w:t>g</w:t>
            </w:r>
            <w:r w:rsidRPr="00C701BF">
              <w:rPr>
                <w:bCs/>
              </w:rPr>
              <w:t>rozījumu projektu</w:t>
            </w:r>
            <w:r w:rsidR="00EC1BE9" w:rsidRPr="00C701BF">
              <w:rPr>
                <w:bCs/>
              </w:rPr>
              <w:t xml:space="preserve">, </w:t>
            </w:r>
            <w:r w:rsidRPr="00C701BF">
              <w:rPr>
                <w:bCs/>
              </w:rPr>
              <w:t xml:space="preserve">no TP finansējuma saņēmējiem </w:t>
            </w:r>
            <w:r w:rsidR="00EC1BE9" w:rsidRPr="00C701BF">
              <w:rPr>
                <w:bCs/>
              </w:rPr>
              <w:t xml:space="preserve">ir </w:t>
            </w:r>
            <w:r w:rsidR="005104F8" w:rsidRPr="00C701BF">
              <w:rPr>
                <w:bCs/>
              </w:rPr>
              <w:t xml:space="preserve">saņemti </w:t>
            </w:r>
            <w:r w:rsidR="00B66C58" w:rsidRPr="00C701BF">
              <w:rPr>
                <w:bCs/>
              </w:rPr>
              <w:t xml:space="preserve">priekšlikumi </w:t>
            </w:r>
            <w:r w:rsidR="0075375C" w:rsidRPr="00C701BF">
              <w:rPr>
                <w:bCs/>
              </w:rPr>
              <w:t xml:space="preserve">TP </w:t>
            </w:r>
            <w:r w:rsidR="00B66C58" w:rsidRPr="00C701BF">
              <w:rPr>
                <w:bCs/>
              </w:rPr>
              <w:t xml:space="preserve">finansējuma </w:t>
            </w:r>
            <w:r w:rsidR="0075375C" w:rsidRPr="00C701BF">
              <w:rPr>
                <w:bCs/>
              </w:rPr>
              <w:t xml:space="preserve">palielināšanai atlīdzībai </w:t>
            </w:r>
            <w:r w:rsidR="00EC1BE9" w:rsidRPr="00C701BF">
              <w:rPr>
                <w:bCs/>
              </w:rPr>
              <w:t xml:space="preserve">(tostarp informācija par nepieciešamām </w:t>
            </w:r>
            <w:r w:rsidR="005104F8" w:rsidRPr="00C701BF">
              <w:rPr>
                <w:bCs/>
              </w:rPr>
              <w:t>papil</w:t>
            </w:r>
            <w:r w:rsidR="00B66C58" w:rsidRPr="00C701BF">
              <w:rPr>
                <w:bCs/>
              </w:rPr>
              <w:t xml:space="preserve">du </w:t>
            </w:r>
            <w:r w:rsidR="00D864A4">
              <w:rPr>
                <w:bCs/>
              </w:rPr>
              <w:t xml:space="preserve">amata </w:t>
            </w:r>
            <w:r w:rsidR="00B66C58" w:rsidRPr="00C701BF">
              <w:rPr>
                <w:bCs/>
              </w:rPr>
              <w:t>viet</w:t>
            </w:r>
            <w:r w:rsidR="00EC1BE9" w:rsidRPr="00C701BF">
              <w:rPr>
                <w:bCs/>
              </w:rPr>
              <w:t>ām),</w:t>
            </w:r>
            <w:r w:rsidR="0075375C" w:rsidRPr="00C701BF">
              <w:rPr>
                <w:bCs/>
              </w:rPr>
              <w:t xml:space="preserve"> izvērtēšanai, publicitātei, citām  izdevumu </w:t>
            </w:r>
            <w:r w:rsidR="0075375C" w:rsidRPr="00C701BF">
              <w:rPr>
                <w:bCs/>
              </w:rPr>
              <w:lastRenderedPageBreak/>
              <w:t xml:space="preserve">pozīcijām, </w:t>
            </w:r>
            <w:r w:rsidR="00EC1BE9" w:rsidRPr="00C701BF">
              <w:rPr>
                <w:bCs/>
              </w:rPr>
              <w:t xml:space="preserve">kuri </w:t>
            </w:r>
            <w:r w:rsidR="0075375C" w:rsidRPr="00C701BF">
              <w:rPr>
                <w:bCs/>
              </w:rPr>
              <w:t xml:space="preserve">būtiski </w:t>
            </w:r>
            <w:r w:rsidR="005104F8" w:rsidRPr="00C701BF">
              <w:rPr>
                <w:bCs/>
              </w:rPr>
              <w:t>pārsniedz</w:t>
            </w:r>
            <w:r w:rsidR="00EC1BE9" w:rsidRPr="00C701BF">
              <w:rPr>
                <w:bCs/>
              </w:rPr>
              <w:t xml:space="preserve"> pieejamo TP finansējuma rezervi</w:t>
            </w:r>
            <w:r w:rsidR="00B66C58" w:rsidRPr="00C701BF">
              <w:rPr>
                <w:bCs/>
              </w:rPr>
              <w:t xml:space="preserve">. </w:t>
            </w:r>
            <w:r w:rsidR="00C32937" w:rsidRPr="00C701BF">
              <w:rPr>
                <w:bCs/>
              </w:rPr>
              <w:t>Lai nodrošinātu vienlīdzīgu</w:t>
            </w:r>
            <w:r w:rsidR="00B8176A" w:rsidRPr="00C701BF">
              <w:rPr>
                <w:bCs/>
              </w:rPr>
              <w:t xml:space="preserve"> un </w:t>
            </w:r>
            <w:r w:rsidR="00C32937" w:rsidRPr="00C701BF">
              <w:rPr>
                <w:bCs/>
              </w:rPr>
              <w:t xml:space="preserve">pamatotu </w:t>
            </w:r>
            <w:r w:rsidR="0075375C" w:rsidRPr="00C701BF">
              <w:rPr>
                <w:bCs/>
              </w:rPr>
              <w:t xml:space="preserve">pieeju </w:t>
            </w:r>
            <w:r w:rsidR="00C32937" w:rsidRPr="00C701BF">
              <w:rPr>
                <w:bCs/>
              </w:rPr>
              <w:t xml:space="preserve">finansējuma </w:t>
            </w:r>
            <w:r w:rsidR="0075375C" w:rsidRPr="00C701BF">
              <w:rPr>
                <w:bCs/>
              </w:rPr>
              <w:t>rezerves pārdalē,</w:t>
            </w:r>
            <w:r w:rsidR="00C32937" w:rsidRPr="00C701BF">
              <w:rPr>
                <w:bCs/>
              </w:rPr>
              <w:t xml:space="preserve"> tika analizēti un i</w:t>
            </w:r>
            <w:r w:rsidR="00B66C58" w:rsidRPr="00C701BF">
              <w:rPr>
                <w:bCs/>
              </w:rPr>
              <w:t>zvērtēt</w:t>
            </w:r>
            <w:r w:rsidR="00C32937" w:rsidRPr="00C701BF">
              <w:rPr>
                <w:bCs/>
              </w:rPr>
              <w:t>i visi aspekti un argumenti</w:t>
            </w:r>
            <w:r w:rsidR="00B66C58" w:rsidRPr="00C701BF">
              <w:rPr>
                <w:bCs/>
              </w:rPr>
              <w:t xml:space="preserve"> </w:t>
            </w:r>
            <w:r w:rsidR="0075375C" w:rsidRPr="00C701BF">
              <w:rPr>
                <w:bCs/>
              </w:rPr>
              <w:t>(</w:t>
            </w:r>
            <w:proofErr w:type="spellStart"/>
            <w:r w:rsidR="00B66C58" w:rsidRPr="00C701BF">
              <w:rPr>
                <w:bCs/>
              </w:rPr>
              <w:t>t.sk</w:t>
            </w:r>
            <w:proofErr w:type="spellEnd"/>
            <w:r w:rsidR="00B66C58" w:rsidRPr="00C701BF">
              <w:rPr>
                <w:bCs/>
              </w:rPr>
              <w:t xml:space="preserve">. </w:t>
            </w:r>
            <w:r w:rsidR="00C32937" w:rsidRPr="00C701BF">
              <w:rPr>
                <w:bCs/>
              </w:rPr>
              <w:t xml:space="preserve">apkopoti un veikti </w:t>
            </w:r>
            <w:r w:rsidR="00B66C58" w:rsidRPr="00C701BF">
              <w:rPr>
                <w:bCs/>
              </w:rPr>
              <w:t>aritmētiski aprēķini</w:t>
            </w:r>
            <w:r w:rsidR="0075375C" w:rsidRPr="00C701BF">
              <w:rPr>
                <w:bCs/>
              </w:rPr>
              <w:t>)</w:t>
            </w:r>
            <w:r w:rsidR="00B66C58" w:rsidRPr="00C701BF">
              <w:rPr>
                <w:bCs/>
              </w:rPr>
              <w:t>, īpaši attiecībā uz projektiem, kuru īstenošana</w:t>
            </w:r>
            <w:r w:rsidR="00C32937" w:rsidRPr="00C701BF">
              <w:rPr>
                <w:bCs/>
              </w:rPr>
              <w:t xml:space="preserve">s laiks ir </w:t>
            </w:r>
            <w:r w:rsidR="00B8176A" w:rsidRPr="00C701BF">
              <w:rPr>
                <w:bCs/>
              </w:rPr>
              <w:t>īsāks ne</w:t>
            </w:r>
            <w:r w:rsidR="00C32937" w:rsidRPr="00C701BF">
              <w:rPr>
                <w:bCs/>
              </w:rPr>
              <w:t xml:space="preserve">kā četri gadi. </w:t>
            </w:r>
          </w:p>
          <w:p w:rsidR="00B66C58" w:rsidRPr="00C701BF" w:rsidRDefault="0075375C" w:rsidP="005104F8">
            <w:pPr>
              <w:jc w:val="both"/>
              <w:rPr>
                <w:bCs/>
              </w:rPr>
            </w:pPr>
            <w:r w:rsidRPr="00C701BF">
              <w:rPr>
                <w:bCs/>
              </w:rPr>
              <w:t xml:space="preserve">Lemjot par papildu </w:t>
            </w:r>
            <w:r w:rsidR="00214E1D" w:rsidRPr="00C701BF">
              <w:rPr>
                <w:bCs/>
              </w:rPr>
              <w:t xml:space="preserve">finansējuma </w:t>
            </w:r>
            <w:r w:rsidRPr="00C701BF">
              <w:rPr>
                <w:bCs/>
              </w:rPr>
              <w:t>nepieciešamību</w:t>
            </w:r>
            <w:r w:rsidR="00BA50FE" w:rsidRPr="00C701BF">
              <w:rPr>
                <w:bCs/>
              </w:rPr>
              <w:t>,</w:t>
            </w:r>
            <w:r w:rsidRPr="00C701BF">
              <w:rPr>
                <w:bCs/>
              </w:rPr>
              <w:t xml:space="preserve"> </w:t>
            </w:r>
            <w:r w:rsidR="00996440" w:rsidRPr="00C701BF">
              <w:rPr>
                <w:bCs/>
              </w:rPr>
              <w:t>tika analizēt</w:t>
            </w:r>
            <w:r w:rsidRPr="00C701BF">
              <w:rPr>
                <w:bCs/>
              </w:rPr>
              <w:t xml:space="preserve">a informācija šādos </w:t>
            </w:r>
            <w:r w:rsidR="0074195C" w:rsidRPr="00C701BF">
              <w:rPr>
                <w:bCs/>
              </w:rPr>
              <w:t>aspektos</w:t>
            </w:r>
            <w:r w:rsidR="00996440" w:rsidRPr="00C701BF">
              <w:rPr>
                <w:bCs/>
              </w:rPr>
              <w:t>:</w:t>
            </w:r>
          </w:p>
          <w:p w:rsidR="00996440" w:rsidRPr="00C701BF" w:rsidRDefault="0075375C" w:rsidP="00996440">
            <w:pPr>
              <w:pStyle w:val="ListParagraph"/>
              <w:numPr>
                <w:ilvl w:val="0"/>
                <w:numId w:val="23"/>
              </w:numPr>
              <w:jc w:val="both"/>
              <w:rPr>
                <w:bCs/>
                <w:lang w:val="lv-LV"/>
              </w:rPr>
            </w:pPr>
            <w:r w:rsidRPr="00C701BF">
              <w:rPr>
                <w:bCs/>
                <w:lang w:val="lv-LV"/>
              </w:rPr>
              <w:t xml:space="preserve">TP līdzekļu apguves rādītāji </w:t>
            </w:r>
            <w:r w:rsidR="006D40A7" w:rsidRPr="00C701BF">
              <w:rPr>
                <w:bCs/>
                <w:lang w:val="lv-LV"/>
              </w:rPr>
              <w:t xml:space="preserve">projektu līmenī </w:t>
            </w:r>
            <w:r w:rsidRPr="00C701BF">
              <w:rPr>
                <w:bCs/>
                <w:lang w:val="lv-LV"/>
              </w:rPr>
              <w:t>(2012.</w:t>
            </w:r>
            <w:r w:rsidR="00BA50FE" w:rsidRPr="00C701BF">
              <w:rPr>
                <w:bCs/>
                <w:lang w:val="lv-LV"/>
              </w:rPr>
              <w:t>g.</w:t>
            </w:r>
            <w:r w:rsidRPr="00C701BF">
              <w:rPr>
                <w:bCs/>
                <w:lang w:val="lv-LV"/>
              </w:rPr>
              <w:t xml:space="preserve"> 1.-3. </w:t>
            </w:r>
            <w:proofErr w:type="spellStart"/>
            <w:r w:rsidRPr="00C701BF">
              <w:rPr>
                <w:bCs/>
                <w:lang w:val="lv-LV"/>
              </w:rPr>
              <w:t>cet</w:t>
            </w:r>
            <w:proofErr w:type="spellEnd"/>
            <w:r w:rsidRPr="00C701BF">
              <w:rPr>
                <w:bCs/>
                <w:lang w:val="lv-LV"/>
              </w:rPr>
              <w:t>.);</w:t>
            </w:r>
          </w:p>
          <w:p w:rsidR="0075375C" w:rsidRPr="00C701BF" w:rsidRDefault="00BA50FE" w:rsidP="00996440">
            <w:pPr>
              <w:pStyle w:val="ListParagraph"/>
              <w:numPr>
                <w:ilvl w:val="0"/>
                <w:numId w:val="23"/>
              </w:numPr>
              <w:jc w:val="both"/>
              <w:rPr>
                <w:bCs/>
                <w:lang w:val="lv-LV"/>
              </w:rPr>
            </w:pPr>
            <w:r w:rsidRPr="00C701BF">
              <w:rPr>
                <w:bCs/>
                <w:lang w:val="lv-LV"/>
              </w:rPr>
              <w:t>v</w:t>
            </w:r>
            <w:r w:rsidR="0075375C" w:rsidRPr="00C701BF">
              <w:rPr>
                <w:bCs/>
                <w:lang w:val="lv-LV"/>
              </w:rPr>
              <w:t>alsts budžeta plāna izpilde (2012.</w:t>
            </w:r>
            <w:r w:rsidRPr="00C701BF">
              <w:rPr>
                <w:bCs/>
                <w:lang w:val="lv-LV"/>
              </w:rPr>
              <w:t>g.</w:t>
            </w:r>
            <w:r w:rsidR="0075375C" w:rsidRPr="00C701BF">
              <w:rPr>
                <w:bCs/>
                <w:lang w:val="lv-LV"/>
              </w:rPr>
              <w:t xml:space="preserve"> 1.-3. </w:t>
            </w:r>
            <w:proofErr w:type="spellStart"/>
            <w:r w:rsidR="0075375C" w:rsidRPr="00C701BF">
              <w:rPr>
                <w:bCs/>
                <w:lang w:val="lv-LV"/>
              </w:rPr>
              <w:t>cet</w:t>
            </w:r>
            <w:proofErr w:type="spellEnd"/>
            <w:r w:rsidR="0075375C" w:rsidRPr="00C701BF">
              <w:rPr>
                <w:bCs/>
                <w:lang w:val="lv-LV"/>
              </w:rPr>
              <w:t>.);</w:t>
            </w:r>
          </w:p>
          <w:p w:rsidR="0075375C" w:rsidRPr="00C701BF" w:rsidRDefault="00BA50FE" w:rsidP="00996440">
            <w:pPr>
              <w:pStyle w:val="ListParagraph"/>
              <w:numPr>
                <w:ilvl w:val="0"/>
                <w:numId w:val="23"/>
              </w:numPr>
              <w:jc w:val="both"/>
              <w:rPr>
                <w:bCs/>
                <w:lang w:val="lv-LV"/>
              </w:rPr>
            </w:pPr>
            <w:r w:rsidRPr="00C701BF">
              <w:rPr>
                <w:bCs/>
                <w:lang w:val="lv-LV"/>
              </w:rPr>
              <w:t>i</w:t>
            </w:r>
            <w:r w:rsidR="0075375C" w:rsidRPr="00C701BF">
              <w:rPr>
                <w:bCs/>
                <w:lang w:val="lv-LV"/>
              </w:rPr>
              <w:t>nstitūcijas administrēto ES fondu līdzekļu apjoms</w:t>
            </w:r>
            <w:r w:rsidRPr="00C701BF">
              <w:rPr>
                <w:bCs/>
                <w:lang w:val="lv-LV"/>
              </w:rPr>
              <w:t xml:space="preserve"> (ar un bez </w:t>
            </w:r>
            <w:r w:rsidR="006D40A7" w:rsidRPr="00C701BF">
              <w:rPr>
                <w:bCs/>
                <w:lang w:val="lv-LV"/>
              </w:rPr>
              <w:t xml:space="preserve">pieejamām </w:t>
            </w:r>
            <w:proofErr w:type="spellStart"/>
            <w:r w:rsidRPr="00C701BF">
              <w:rPr>
                <w:bCs/>
                <w:lang w:val="lv-LV"/>
              </w:rPr>
              <w:t>virssaistībām</w:t>
            </w:r>
            <w:proofErr w:type="spellEnd"/>
            <w:r w:rsidRPr="00C701BF">
              <w:rPr>
                <w:bCs/>
                <w:lang w:val="lv-LV"/>
              </w:rPr>
              <w:t>)</w:t>
            </w:r>
            <w:r w:rsidR="0075375C" w:rsidRPr="00C701BF">
              <w:rPr>
                <w:bCs/>
                <w:lang w:val="lv-LV"/>
              </w:rPr>
              <w:t xml:space="preserve"> uz 1 darbinieku;</w:t>
            </w:r>
          </w:p>
          <w:p w:rsidR="00BA50FE" w:rsidRPr="00C701BF" w:rsidRDefault="00BA50FE" w:rsidP="00996440">
            <w:pPr>
              <w:pStyle w:val="ListParagraph"/>
              <w:numPr>
                <w:ilvl w:val="0"/>
                <w:numId w:val="23"/>
              </w:numPr>
              <w:jc w:val="both"/>
              <w:rPr>
                <w:bCs/>
                <w:lang w:val="lv-LV"/>
              </w:rPr>
            </w:pPr>
            <w:r w:rsidRPr="00C701BF">
              <w:rPr>
                <w:bCs/>
                <w:lang w:val="lv-LV"/>
              </w:rPr>
              <w:t xml:space="preserve">TP finansējuma </w:t>
            </w:r>
            <w:r w:rsidR="00946DC8" w:rsidRPr="00C701BF">
              <w:rPr>
                <w:bCs/>
                <w:lang w:val="lv-LV"/>
              </w:rPr>
              <w:t xml:space="preserve">viena </w:t>
            </w:r>
            <w:r w:rsidRPr="00C701BF">
              <w:rPr>
                <w:bCs/>
                <w:lang w:val="lv-LV"/>
              </w:rPr>
              <w:t xml:space="preserve">lata attiecība pret </w:t>
            </w:r>
            <w:r w:rsidR="006D40A7" w:rsidRPr="00C701BF">
              <w:rPr>
                <w:bCs/>
                <w:lang w:val="lv-LV"/>
              </w:rPr>
              <w:t xml:space="preserve">iestādes </w:t>
            </w:r>
            <w:r w:rsidRPr="00C701BF">
              <w:rPr>
                <w:bCs/>
                <w:lang w:val="lv-LV"/>
              </w:rPr>
              <w:t>administrē</w:t>
            </w:r>
            <w:r w:rsidR="006D40A7" w:rsidRPr="00C701BF">
              <w:rPr>
                <w:bCs/>
                <w:lang w:val="lv-LV"/>
              </w:rPr>
              <w:t xml:space="preserve">to </w:t>
            </w:r>
            <w:r w:rsidRPr="00C701BF">
              <w:rPr>
                <w:bCs/>
                <w:lang w:val="lv-LV"/>
              </w:rPr>
              <w:t xml:space="preserve"> ES fondu apjomu;</w:t>
            </w:r>
          </w:p>
          <w:p w:rsidR="00BA50FE" w:rsidRPr="00C701BF" w:rsidRDefault="00BA50FE" w:rsidP="00BA50FE">
            <w:pPr>
              <w:pStyle w:val="ListParagraph"/>
              <w:numPr>
                <w:ilvl w:val="0"/>
                <w:numId w:val="23"/>
              </w:numPr>
              <w:jc w:val="both"/>
              <w:rPr>
                <w:bCs/>
                <w:lang w:val="lv-LV"/>
              </w:rPr>
            </w:pPr>
            <w:r w:rsidRPr="00C701BF">
              <w:rPr>
                <w:bCs/>
                <w:lang w:val="lv-LV"/>
              </w:rPr>
              <w:t>iespējas veikt izdevumu optimiz</w:t>
            </w:r>
            <w:r w:rsidR="00B8176A" w:rsidRPr="00C701BF">
              <w:rPr>
                <w:bCs/>
                <w:lang w:val="lv-LV"/>
              </w:rPr>
              <w:t>ēšanu</w:t>
            </w:r>
            <w:r w:rsidRPr="00C701BF">
              <w:rPr>
                <w:bCs/>
                <w:lang w:val="lv-LV"/>
              </w:rPr>
              <w:t xml:space="preserve"> konkrētos TP projektos, ī</w:t>
            </w:r>
            <w:r w:rsidR="006D40A7" w:rsidRPr="00C701BF">
              <w:rPr>
                <w:bCs/>
                <w:lang w:val="lv-LV"/>
              </w:rPr>
              <w:t>pa</w:t>
            </w:r>
            <w:r w:rsidRPr="00C701BF">
              <w:rPr>
                <w:bCs/>
                <w:lang w:val="lv-LV"/>
              </w:rPr>
              <w:t>ši attiecīb</w:t>
            </w:r>
            <w:r w:rsidR="006D40A7" w:rsidRPr="00C701BF">
              <w:rPr>
                <w:bCs/>
                <w:lang w:val="lv-LV"/>
              </w:rPr>
              <w:t>ā</w:t>
            </w:r>
            <w:r w:rsidRPr="00C701BF">
              <w:rPr>
                <w:bCs/>
                <w:lang w:val="lv-LV"/>
              </w:rPr>
              <w:t xml:space="preserve"> uz apmācību, publicitātes, izvērtēšanas  </w:t>
            </w:r>
            <w:proofErr w:type="spellStart"/>
            <w:r w:rsidRPr="00C701BF">
              <w:rPr>
                <w:bCs/>
                <w:lang w:val="lv-LV"/>
              </w:rPr>
              <w:t>u.c</w:t>
            </w:r>
            <w:proofErr w:type="spellEnd"/>
            <w:r w:rsidRPr="00C701BF">
              <w:rPr>
                <w:bCs/>
                <w:lang w:val="lv-LV"/>
              </w:rPr>
              <w:t xml:space="preserve">. izmaksām; </w:t>
            </w:r>
          </w:p>
          <w:p w:rsidR="00BA50FE" w:rsidRPr="00C701BF" w:rsidRDefault="00BA50FE" w:rsidP="00BA50FE">
            <w:pPr>
              <w:pStyle w:val="ListParagraph"/>
              <w:numPr>
                <w:ilvl w:val="0"/>
                <w:numId w:val="23"/>
              </w:numPr>
              <w:jc w:val="both"/>
              <w:rPr>
                <w:bCs/>
                <w:lang w:val="lv-LV"/>
              </w:rPr>
            </w:pPr>
            <w:r w:rsidRPr="00C701BF">
              <w:rPr>
                <w:bCs/>
                <w:lang w:val="lv-LV"/>
              </w:rPr>
              <w:t>vidējais atlīdzības apjoms institūcijā;</w:t>
            </w:r>
          </w:p>
          <w:p w:rsidR="00996440" w:rsidRPr="00C701BF" w:rsidRDefault="00CB2942" w:rsidP="00996440">
            <w:pPr>
              <w:pStyle w:val="ListParagraph"/>
              <w:numPr>
                <w:ilvl w:val="0"/>
                <w:numId w:val="23"/>
              </w:numPr>
              <w:jc w:val="both"/>
              <w:rPr>
                <w:bCs/>
                <w:lang w:val="lv-LV"/>
              </w:rPr>
            </w:pPr>
            <w:r>
              <w:rPr>
                <w:bCs/>
                <w:lang w:val="lv-LV"/>
              </w:rPr>
              <w:t xml:space="preserve">atlīdzības </w:t>
            </w:r>
            <w:r w:rsidR="00996440" w:rsidRPr="00C701BF">
              <w:rPr>
                <w:bCs/>
                <w:lang w:val="lv-LV"/>
              </w:rPr>
              <w:t>palielinājum</w:t>
            </w:r>
            <w:r w:rsidR="00BA50FE" w:rsidRPr="00C701BF">
              <w:rPr>
                <w:bCs/>
                <w:lang w:val="lv-LV"/>
              </w:rPr>
              <w:t>a pamatojums</w:t>
            </w:r>
            <w:r w:rsidR="00996440" w:rsidRPr="00C701BF">
              <w:rPr>
                <w:bCs/>
                <w:lang w:val="lv-LV"/>
              </w:rPr>
              <w:t xml:space="preserve"> </w:t>
            </w:r>
            <w:r w:rsidR="00BA50FE" w:rsidRPr="00C701BF">
              <w:rPr>
                <w:bCs/>
                <w:lang w:val="lv-LV"/>
              </w:rPr>
              <w:t xml:space="preserve">TP </w:t>
            </w:r>
            <w:r w:rsidR="00996440" w:rsidRPr="00C701BF">
              <w:rPr>
                <w:bCs/>
                <w:lang w:val="lv-LV"/>
              </w:rPr>
              <w:t>projekt</w:t>
            </w:r>
            <w:r w:rsidR="00214E1D" w:rsidRPr="00C701BF">
              <w:rPr>
                <w:bCs/>
                <w:lang w:val="lv-LV"/>
              </w:rPr>
              <w:t xml:space="preserve">ā </w:t>
            </w:r>
            <w:r w:rsidR="00BA50FE" w:rsidRPr="00C701BF">
              <w:rPr>
                <w:bCs/>
                <w:lang w:val="lv-LV"/>
              </w:rPr>
              <w:t>un citi</w:t>
            </w:r>
            <w:r w:rsidR="00FB5359">
              <w:rPr>
                <w:bCs/>
                <w:lang w:val="lv-LV"/>
              </w:rPr>
              <w:t xml:space="preserve"> aspekti.</w:t>
            </w:r>
            <w:r w:rsidR="006D40A7" w:rsidRPr="00C701BF">
              <w:rPr>
                <w:bCs/>
                <w:lang w:val="lv-LV"/>
              </w:rPr>
              <w:t xml:space="preserve"> </w:t>
            </w:r>
          </w:p>
          <w:p w:rsidR="003D2A40" w:rsidRDefault="00405305" w:rsidP="00FB5359">
            <w:pPr>
              <w:spacing w:after="120"/>
              <w:jc w:val="both"/>
              <w:rPr>
                <w:lang w:eastAsia="en-US"/>
              </w:rPr>
            </w:pPr>
            <w:r w:rsidRPr="008D680B">
              <w:rPr>
                <w:b/>
                <w:bCs/>
              </w:rPr>
              <w:t>Rezerves pārdal</w:t>
            </w:r>
            <w:r w:rsidR="00075F51" w:rsidRPr="008D680B">
              <w:rPr>
                <w:b/>
                <w:bCs/>
              </w:rPr>
              <w:t>e</w:t>
            </w:r>
            <w:r w:rsidRPr="008D680B">
              <w:rPr>
                <w:b/>
                <w:bCs/>
              </w:rPr>
              <w:t xml:space="preserve"> attiecībā uz atlīdzību </w:t>
            </w:r>
            <w:r w:rsidR="00D864A4" w:rsidRPr="008D680B">
              <w:rPr>
                <w:b/>
                <w:bCs/>
              </w:rPr>
              <w:t>atbalstīta</w:t>
            </w:r>
            <w:r w:rsidR="00DD5BE8" w:rsidRPr="008D680B">
              <w:rPr>
                <w:b/>
                <w:bCs/>
              </w:rPr>
              <w:t>,</w:t>
            </w:r>
            <w:r w:rsidRPr="008D680B">
              <w:rPr>
                <w:b/>
                <w:bCs/>
              </w:rPr>
              <w:t xml:space="preserve"> </w:t>
            </w:r>
            <w:r w:rsidR="00F77C7D" w:rsidRPr="008D680B">
              <w:rPr>
                <w:b/>
                <w:lang w:eastAsia="en-US"/>
              </w:rPr>
              <w:t>uzsverot, ka katras iestādes  </w:t>
            </w:r>
            <w:r w:rsidRPr="008D680B">
              <w:rPr>
                <w:b/>
                <w:lang w:eastAsia="en-US"/>
              </w:rPr>
              <w:t xml:space="preserve">vadītāja kompetencē ir lemt par  visefektīvāko funkciju nodrošināšanas modeli </w:t>
            </w:r>
            <w:r>
              <w:rPr>
                <w:lang w:eastAsia="en-US"/>
              </w:rPr>
              <w:t>(ekspertu piesaiste,  ārpakalpojums vai papildu amata vietas) atlīdzībai pieejamā finansējuma apjoma ietvaros.</w:t>
            </w:r>
          </w:p>
          <w:p w:rsidR="00405305" w:rsidRDefault="00405305" w:rsidP="003D2A40">
            <w:pPr>
              <w:spacing w:after="120"/>
              <w:jc w:val="both"/>
              <w:rPr>
                <w:lang w:eastAsia="en-US"/>
              </w:rPr>
            </w:pPr>
            <w:r>
              <w:rPr>
                <w:lang w:eastAsia="en-US"/>
              </w:rPr>
              <w:t>Pamatojoties uz informācijas analīzi, kā arī</w:t>
            </w:r>
            <w:r w:rsidR="00D864A4">
              <w:rPr>
                <w:lang w:eastAsia="en-US"/>
              </w:rPr>
              <w:t xml:space="preserve"> izvērtējot </w:t>
            </w:r>
            <w:r>
              <w:rPr>
                <w:lang w:eastAsia="en-US"/>
              </w:rPr>
              <w:t>iestāžu iesniegtos aprēķinus atlīdzībai</w:t>
            </w:r>
            <w:r w:rsidR="00D864A4">
              <w:rPr>
                <w:lang w:eastAsia="en-US"/>
              </w:rPr>
              <w:t xml:space="preserve">, </w:t>
            </w:r>
            <w:r>
              <w:rPr>
                <w:lang w:eastAsia="en-US"/>
              </w:rPr>
              <w:t xml:space="preserve"> papildu finansējums piešķir</w:t>
            </w:r>
            <w:r w:rsidR="003D2A40">
              <w:rPr>
                <w:lang w:eastAsia="en-US"/>
              </w:rPr>
              <w:t>t</w:t>
            </w:r>
            <w:r>
              <w:rPr>
                <w:lang w:eastAsia="en-US"/>
              </w:rPr>
              <w:t xml:space="preserve">s </w:t>
            </w:r>
            <w:r w:rsidR="007708FA">
              <w:rPr>
                <w:lang w:eastAsia="en-US"/>
              </w:rPr>
              <w:t xml:space="preserve">sadarbības iestādēm </w:t>
            </w:r>
            <w:r w:rsidR="00CB2942">
              <w:rPr>
                <w:lang w:eastAsia="en-US"/>
              </w:rPr>
              <w:t>─</w:t>
            </w:r>
            <w:r w:rsidR="007708FA">
              <w:rPr>
                <w:lang w:eastAsia="en-US"/>
              </w:rPr>
              <w:t xml:space="preserve"> </w:t>
            </w:r>
            <w:r w:rsidRPr="0052188A">
              <w:rPr>
                <w:lang w:eastAsia="en-US"/>
              </w:rPr>
              <w:t>V</w:t>
            </w:r>
            <w:r w:rsidR="00FB5359">
              <w:rPr>
                <w:lang w:eastAsia="en-US"/>
              </w:rPr>
              <w:t xml:space="preserve">alsts </w:t>
            </w:r>
            <w:r w:rsidR="00261A36">
              <w:rPr>
                <w:lang w:eastAsia="en-US"/>
              </w:rPr>
              <w:t>izglītības attīstības aģentūrai</w:t>
            </w:r>
            <w:r w:rsidRPr="0052188A">
              <w:rPr>
                <w:lang w:eastAsia="en-US"/>
              </w:rPr>
              <w:t>, V</w:t>
            </w:r>
            <w:r w:rsidR="00FB5359">
              <w:rPr>
                <w:lang w:eastAsia="en-US"/>
              </w:rPr>
              <w:t xml:space="preserve">alsts </w:t>
            </w:r>
            <w:r w:rsidR="00261A36">
              <w:rPr>
                <w:lang w:eastAsia="en-US"/>
              </w:rPr>
              <w:t>reģionālās attīstības aģentūrai</w:t>
            </w:r>
            <w:r w:rsidRPr="0052188A">
              <w:rPr>
                <w:bCs/>
              </w:rPr>
              <w:t xml:space="preserve">, </w:t>
            </w:r>
            <w:r w:rsidR="00FB5359">
              <w:rPr>
                <w:bCs/>
              </w:rPr>
              <w:t>Latvijas Inve</w:t>
            </w:r>
            <w:r w:rsidR="00261A36">
              <w:rPr>
                <w:bCs/>
              </w:rPr>
              <w:t>stīciju un attīstības aģentūrai</w:t>
            </w:r>
            <w:r w:rsidR="007B751B" w:rsidRPr="0052188A">
              <w:rPr>
                <w:bCs/>
              </w:rPr>
              <w:t>,</w:t>
            </w:r>
            <w:r w:rsidR="007708FA" w:rsidRPr="0052188A">
              <w:rPr>
                <w:bCs/>
              </w:rPr>
              <w:t xml:space="preserve"> C</w:t>
            </w:r>
            <w:r w:rsidR="00FB5359">
              <w:rPr>
                <w:bCs/>
              </w:rPr>
              <w:t>entrālajai finanšu un līgumu aģentū</w:t>
            </w:r>
            <w:r w:rsidR="00261A36">
              <w:rPr>
                <w:bCs/>
              </w:rPr>
              <w:t>rai</w:t>
            </w:r>
            <w:r w:rsidR="007708FA" w:rsidRPr="0052188A">
              <w:rPr>
                <w:bCs/>
              </w:rPr>
              <w:t>,</w:t>
            </w:r>
            <w:r w:rsidR="007B751B">
              <w:rPr>
                <w:bCs/>
              </w:rPr>
              <w:t xml:space="preserve"> </w:t>
            </w:r>
            <w:r>
              <w:rPr>
                <w:bCs/>
              </w:rPr>
              <w:t xml:space="preserve">kurām </w:t>
            </w:r>
            <w:r w:rsidRPr="00C701BF">
              <w:rPr>
                <w:bCs/>
              </w:rPr>
              <w:t>administrējamo finanšu apjoms un</w:t>
            </w:r>
            <w:r w:rsidR="00FB5359">
              <w:rPr>
                <w:bCs/>
              </w:rPr>
              <w:t xml:space="preserve"> </w:t>
            </w:r>
            <w:r w:rsidRPr="00C701BF">
              <w:rPr>
                <w:bCs/>
              </w:rPr>
              <w:t xml:space="preserve">darbinieku noslodze ir </w:t>
            </w:r>
            <w:r w:rsidR="009340E8">
              <w:rPr>
                <w:bCs/>
              </w:rPr>
              <w:t>vis</w:t>
            </w:r>
            <w:r w:rsidRPr="00C701BF">
              <w:rPr>
                <w:bCs/>
              </w:rPr>
              <w:t>l</w:t>
            </w:r>
            <w:r w:rsidR="009340E8">
              <w:rPr>
                <w:bCs/>
              </w:rPr>
              <w:t>iel</w:t>
            </w:r>
            <w:r w:rsidRPr="00C701BF">
              <w:rPr>
                <w:bCs/>
              </w:rPr>
              <w:t>āk</w:t>
            </w:r>
            <w:r w:rsidR="009340E8">
              <w:rPr>
                <w:bCs/>
              </w:rPr>
              <w:t>ā</w:t>
            </w:r>
            <w:r w:rsidRPr="00C701BF">
              <w:rPr>
                <w:bCs/>
              </w:rPr>
              <w:t xml:space="preserve"> starp iesaistītajām institūcijām</w:t>
            </w:r>
            <w:r w:rsidR="009340E8">
              <w:rPr>
                <w:bCs/>
              </w:rPr>
              <w:t>, k</w:t>
            </w:r>
            <w:r w:rsidR="003D2A40">
              <w:rPr>
                <w:bCs/>
              </w:rPr>
              <w:t>ā</w:t>
            </w:r>
            <w:r w:rsidR="009340E8">
              <w:rPr>
                <w:bCs/>
              </w:rPr>
              <w:t xml:space="preserve"> arī L</w:t>
            </w:r>
            <w:r w:rsidR="00FB5359">
              <w:rPr>
                <w:bCs/>
              </w:rPr>
              <w:t xml:space="preserve">abklājības ministrijai, </w:t>
            </w:r>
            <w:r w:rsidR="009340E8">
              <w:rPr>
                <w:bCs/>
              </w:rPr>
              <w:t>ņemot vērā darba apjom</w:t>
            </w:r>
            <w:r w:rsidR="00C27343">
              <w:rPr>
                <w:bCs/>
              </w:rPr>
              <w:t>u</w:t>
            </w:r>
            <w:r w:rsidR="009340E8">
              <w:rPr>
                <w:bCs/>
              </w:rPr>
              <w:t xml:space="preserve"> </w:t>
            </w:r>
            <w:proofErr w:type="spellStart"/>
            <w:r w:rsidR="009340E8">
              <w:rPr>
                <w:bCs/>
              </w:rPr>
              <w:t>virss</w:t>
            </w:r>
            <w:r w:rsidR="003D2A40">
              <w:rPr>
                <w:bCs/>
              </w:rPr>
              <w:t>ai</w:t>
            </w:r>
            <w:r w:rsidR="009340E8">
              <w:rPr>
                <w:bCs/>
              </w:rPr>
              <w:t>stību</w:t>
            </w:r>
            <w:proofErr w:type="spellEnd"/>
            <w:r w:rsidR="009340E8">
              <w:rPr>
                <w:bCs/>
              </w:rPr>
              <w:t xml:space="preserve"> uzraudzībā un 2014. </w:t>
            </w:r>
            <w:r w:rsidR="00CB2942">
              <w:rPr>
                <w:bCs/>
              </w:rPr>
              <w:t xml:space="preserve">─ </w:t>
            </w:r>
            <w:r w:rsidR="009340E8">
              <w:rPr>
                <w:bCs/>
              </w:rPr>
              <w:t xml:space="preserve">2020. gada perioda sagatavošanā. </w:t>
            </w:r>
            <w:r>
              <w:rPr>
                <w:lang w:eastAsia="en-US"/>
              </w:rPr>
              <w:t xml:space="preserve"> </w:t>
            </w:r>
          </w:p>
          <w:p w:rsidR="00797228" w:rsidRDefault="00797228" w:rsidP="003D2A40">
            <w:pPr>
              <w:spacing w:after="120"/>
              <w:jc w:val="both"/>
              <w:rPr>
                <w:lang w:eastAsia="en-US"/>
              </w:rPr>
            </w:pPr>
            <w:r w:rsidRPr="00C27343">
              <w:rPr>
                <w:lang w:eastAsia="en-US"/>
              </w:rPr>
              <w:t>Finanšu ministrijai</w:t>
            </w:r>
            <w:r w:rsidR="00CB2942">
              <w:rPr>
                <w:lang w:eastAsia="en-US"/>
              </w:rPr>
              <w:t xml:space="preserve"> (</w:t>
            </w:r>
            <w:r w:rsidR="007058A1">
              <w:rPr>
                <w:lang w:eastAsia="en-US"/>
              </w:rPr>
              <w:t xml:space="preserve">turpmāk </w:t>
            </w:r>
            <w:r w:rsidR="00FB5359">
              <w:rPr>
                <w:lang w:eastAsia="en-US"/>
              </w:rPr>
              <w:t>─</w:t>
            </w:r>
            <w:r w:rsidR="007058A1">
              <w:rPr>
                <w:lang w:eastAsia="en-US"/>
              </w:rPr>
              <w:t xml:space="preserve"> </w:t>
            </w:r>
            <w:r w:rsidR="00CB2942">
              <w:rPr>
                <w:lang w:eastAsia="en-US"/>
              </w:rPr>
              <w:t>FM)</w:t>
            </w:r>
            <w:r w:rsidRPr="00C27343">
              <w:rPr>
                <w:lang w:eastAsia="en-US"/>
              </w:rPr>
              <w:t xml:space="preserve"> kā ES fondu vadošajai iestādei un </w:t>
            </w:r>
            <w:r w:rsidR="00CB2942">
              <w:rPr>
                <w:lang w:eastAsia="en-US"/>
              </w:rPr>
              <w:t xml:space="preserve">FM </w:t>
            </w:r>
            <w:r w:rsidRPr="00C27343">
              <w:rPr>
                <w:lang w:eastAsia="en-US"/>
              </w:rPr>
              <w:t xml:space="preserve">kā </w:t>
            </w:r>
            <w:r w:rsidR="0052188A" w:rsidRPr="00C27343">
              <w:rPr>
                <w:lang w:eastAsia="en-US"/>
              </w:rPr>
              <w:t xml:space="preserve">ES fondu </w:t>
            </w:r>
            <w:r w:rsidRPr="00C27343">
              <w:rPr>
                <w:lang w:eastAsia="en-US"/>
              </w:rPr>
              <w:t>revīzijas iestādei piešķirt</w:t>
            </w:r>
            <w:r w:rsidR="00C27343" w:rsidRPr="00C27343">
              <w:rPr>
                <w:lang w:eastAsia="en-US"/>
              </w:rPr>
              <w:t>ai</w:t>
            </w:r>
            <w:r w:rsidRPr="00C27343">
              <w:rPr>
                <w:lang w:eastAsia="en-US"/>
              </w:rPr>
              <w:t>s papildu finansējums atlīdzībai</w:t>
            </w:r>
            <w:r w:rsidR="00C27343" w:rsidRPr="00C27343">
              <w:rPr>
                <w:lang w:eastAsia="en-US"/>
              </w:rPr>
              <w:t xml:space="preserve"> </w:t>
            </w:r>
            <w:r w:rsidR="00C27343">
              <w:rPr>
                <w:lang w:eastAsia="en-US"/>
              </w:rPr>
              <w:t xml:space="preserve">saistīts </w:t>
            </w:r>
            <w:r w:rsidR="00C27343" w:rsidRPr="00C27343">
              <w:rPr>
                <w:lang w:eastAsia="en-US"/>
              </w:rPr>
              <w:t xml:space="preserve">galvenokārt ar </w:t>
            </w:r>
            <w:r w:rsidRPr="00C27343">
              <w:rPr>
                <w:lang w:eastAsia="en-US"/>
              </w:rPr>
              <w:t xml:space="preserve"> </w:t>
            </w:r>
            <w:r w:rsidR="0052188A" w:rsidRPr="00C27343">
              <w:rPr>
                <w:lang w:eastAsia="en-US"/>
              </w:rPr>
              <w:t>pieaugošo darba apjomu</w:t>
            </w:r>
            <w:r w:rsidR="00E95A57" w:rsidRPr="00C27343">
              <w:rPr>
                <w:lang w:eastAsia="en-US"/>
              </w:rPr>
              <w:t xml:space="preserve">, </w:t>
            </w:r>
            <w:proofErr w:type="spellStart"/>
            <w:r w:rsidR="00E95A57" w:rsidRPr="00C27343">
              <w:rPr>
                <w:lang w:eastAsia="en-US"/>
              </w:rPr>
              <w:t>t.sk</w:t>
            </w:r>
            <w:proofErr w:type="spellEnd"/>
            <w:r w:rsidR="00C27343">
              <w:rPr>
                <w:lang w:eastAsia="en-US"/>
              </w:rPr>
              <w:t>.</w:t>
            </w:r>
            <w:r w:rsidR="00E95A57" w:rsidRPr="00C27343">
              <w:rPr>
                <w:lang w:eastAsia="en-US"/>
              </w:rPr>
              <w:t xml:space="preserve"> saistībā ar </w:t>
            </w:r>
            <w:r w:rsidR="007058A1">
              <w:rPr>
                <w:lang w:eastAsia="en-US"/>
              </w:rPr>
              <w:t xml:space="preserve">gatavošanos </w:t>
            </w:r>
            <w:r w:rsidR="00277B15" w:rsidRPr="00C27343">
              <w:rPr>
                <w:lang w:eastAsia="en-US"/>
              </w:rPr>
              <w:t>2014</w:t>
            </w:r>
            <w:r w:rsidR="007058A1">
              <w:rPr>
                <w:lang w:eastAsia="en-US"/>
              </w:rPr>
              <w:t xml:space="preserve"> </w:t>
            </w:r>
            <w:r w:rsidR="00277B15" w:rsidRPr="00C27343">
              <w:rPr>
                <w:lang w:eastAsia="en-US"/>
              </w:rPr>
              <w:t>-</w:t>
            </w:r>
            <w:r w:rsidR="007058A1">
              <w:rPr>
                <w:lang w:eastAsia="en-US"/>
              </w:rPr>
              <w:t xml:space="preserve"> </w:t>
            </w:r>
            <w:r w:rsidR="00277B15" w:rsidRPr="00C27343">
              <w:rPr>
                <w:lang w:eastAsia="en-US"/>
              </w:rPr>
              <w:t>2020.gada plānošanas</w:t>
            </w:r>
            <w:r w:rsidR="00E95A57" w:rsidRPr="00C27343">
              <w:rPr>
                <w:lang w:eastAsia="en-US"/>
              </w:rPr>
              <w:t xml:space="preserve"> period</w:t>
            </w:r>
            <w:r w:rsidR="00C27343">
              <w:rPr>
                <w:lang w:eastAsia="en-US"/>
              </w:rPr>
              <w:t>a</w:t>
            </w:r>
            <w:r w:rsidR="007058A1">
              <w:rPr>
                <w:lang w:eastAsia="en-US"/>
              </w:rPr>
              <w:t>m</w:t>
            </w:r>
            <w:r w:rsidR="00C27343">
              <w:rPr>
                <w:lang w:eastAsia="en-US"/>
              </w:rPr>
              <w:t xml:space="preserve">. </w:t>
            </w:r>
          </w:p>
          <w:p w:rsidR="009340E8" w:rsidRDefault="00CB2942" w:rsidP="003D2A40">
            <w:pPr>
              <w:spacing w:after="120"/>
              <w:jc w:val="both"/>
              <w:rPr>
                <w:bCs/>
              </w:rPr>
            </w:pPr>
            <w:r>
              <w:rPr>
                <w:bCs/>
              </w:rPr>
              <w:t xml:space="preserve">FM </w:t>
            </w:r>
            <w:r w:rsidR="008E60FC" w:rsidRPr="00C701BF">
              <w:rPr>
                <w:bCs/>
              </w:rPr>
              <w:t xml:space="preserve">kā </w:t>
            </w:r>
            <w:r w:rsidR="00BA50FE" w:rsidRPr="00C701BF">
              <w:rPr>
                <w:bCs/>
              </w:rPr>
              <w:t xml:space="preserve">ES fondu </w:t>
            </w:r>
            <w:r w:rsidR="008E60FC" w:rsidRPr="00C701BF">
              <w:rPr>
                <w:bCs/>
              </w:rPr>
              <w:t>vadošajai iestāde</w:t>
            </w:r>
            <w:r w:rsidR="00C27343">
              <w:rPr>
                <w:bCs/>
              </w:rPr>
              <w:t>s projektā</w:t>
            </w:r>
            <w:r w:rsidR="00B52518" w:rsidRPr="00C701BF">
              <w:rPr>
                <w:bCs/>
              </w:rPr>
              <w:t xml:space="preserve"> </w:t>
            </w:r>
            <w:r w:rsidR="008E60FC" w:rsidRPr="009340E8">
              <w:rPr>
                <w:bCs/>
              </w:rPr>
              <w:t xml:space="preserve">1 papildu </w:t>
            </w:r>
            <w:r w:rsidR="009340E8">
              <w:rPr>
                <w:bCs/>
              </w:rPr>
              <w:t xml:space="preserve">amata </w:t>
            </w:r>
            <w:r w:rsidR="008E60FC" w:rsidRPr="009340E8">
              <w:rPr>
                <w:bCs/>
              </w:rPr>
              <w:t>vieta</w:t>
            </w:r>
            <w:r w:rsidR="00C27343">
              <w:rPr>
                <w:bCs/>
              </w:rPr>
              <w:t xml:space="preserve"> plānota</w:t>
            </w:r>
            <w:r w:rsidR="00B52518" w:rsidRPr="009340E8">
              <w:rPr>
                <w:bCs/>
              </w:rPr>
              <w:t xml:space="preserve"> </w:t>
            </w:r>
            <w:r w:rsidR="00B52518" w:rsidRPr="00C701BF">
              <w:rPr>
                <w:bCs/>
              </w:rPr>
              <w:t>Komercdarbības atbalsta kontroles departament</w:t>
            </w:r>
            <w:r w:rsidR="00A871BF" w:rsidRPr="00C701BF">
              <w:rPr>
                <w:bCs/>
              </w:rPr>
              <w:t xml:space="preserve">ā ─ </w:t>
            </w:r>
            <w:r w:rsidR="004201BA" w:rsidRPr="00C701BF">
              <w:rPr>
                <w:bCs/>
              </w:rPr>
              <w:t xml:space="preserve"> </w:t>
            </w:r>
            <w:r w:rsidR="00BA50FE" w:rsidRPr="00C701BF">
              <w:rPr>
                <w:bCs/>
              </w:rPr>
              <w:t xml:space="preserve">pamatojoties uz </w:t>
            </w:r>
            <w:r w:rsidR="004201BA" w:rsidRPr="00C701BF">
              <w:rPr>
                <w:bCs/>
              </w:rPr>
              <w:t>EK ierosināto valsts atbalsta modernizācijas procesa uzsākšanu</w:t>
            </w:r>
            <w:r w:rsidR="00C701BF">
              <w:rPr>
                <w:bCs/>
              </w:rPr>
              <w:t>,</w:t>
            </w:r>
            <w:r w:rsidR="004201BA" w:rsidRPr="00C701BF">
              <w:rPr>
                <w:bCs/>
              </w:rPr>
              <w:t xml:space="preserve"> </w:t>
            </w:r>
            <w:r w:rsidR="00A871BF" w:rsidRPr="00C701BF">
              <w:rPr>
                <w:bCs/>
              </w:rPr>
              <w:t xml:space="preserve">attiecīgi </w:t>
            </w:r>
            <w:r w:rsidR="004201BA" w:rsidRPr="00C701BF">
              <w:rPr>
                <w:bCs/>
              </w:rPr>
              <w:t xml:space="preserve">palielināsies valsts atbalsta kontroles </w:t>
            </w:r>
            <w:r w:rsidR="004201BA" w:rsidRPr="00C701BF">
              <w:rPr>
                <w:bCs/>
              </w:rPr>
              <w:lastRenderedPageBreak/>
              <w:t xml:space="preserve">funkciju </w:t>
            </w:r>
            <w:r w:rsidR="00A871BF" w:rsidRPr="00C701BF">
              <w:rPr>
                <w:bCs/>
              </w:rPr>
              <w:t>apjoms</w:t>
            </w:r>
            <w:r w:rsidR="004201BA" w:rsidRPr="00C701BF">
              <w:rPr>
                <w:bCs/>
              </w:rPr>
              <w:t xml:space="preserve"> nacionālā līmenī.</w:t>
            </w:r>
          </w:p>
          <w:p w:rsidR="00A871BF" w:rsidRDefault="00A871BF" w:rsidP="00C27343">
            <w:pPr>
              <w:spacing w:after="120"/>
              <w:jc w:val="both"/>
              <w:rPr>
                <w:bCs/>
              </w:rPr>
            </w:pPr>
            <w:r w:rsidRPr="009340E8">
              <w:rPr>
                <w:bCs/>
              </w:rPr>
              <w:t xml:space="preserve">Papildu </w:t>
            </w:r>
            <w:r w:rsidR="009340E8" w:rsidRPr="009340E8">
              <w:rPr>
                <w:bCs/>
              </w:rPr>
              <w:t xml:space="preserve">finansējums netiek atbalstīts nevienam </w:t>
            </w:r>
            <w:r w:rsidR="009340E8">
              <w:rPr>
                <w:bCs/>
              </w:rPr>
              <w:t>horizontāl</w:t>
            </w:r>
            <w:r w:rsidR="00CB2942">
              <w:rPr>
                <w:bCs/>
              </w:rPr>
              <w:t>ā</w:t>
            </w:r>
            <w:r w:rsidR="009340E8">
              <w:rPr>
                <w:bCs/>
              </w:rPr>
              <w:t xml:space="preserve">s </w:t>
            </w:r>
            <w:r w:rsidR="009340E8" w:rsidRPr="009340E8">
              <w:rPr>
                <w:bCs/>
              </w:rPr>
              <w:t xml:space="preserve"> prioritātes projektam</w:t>
            </w:r>
            <w:r w:rsidR="00780CE9" w:rsidRPr="009340E8">
              <w:rPr>
                <w:bCs/>
              </w:rPr>
              <w:t xml:space="preserve">, jo </w:t>
            </w:r>
            <w:r w:rsidR="0001308A" w:rsidRPr="009340E8">
              <w:rPr>
                <w:bCs/>
              </w:rPr>
              <w:t xml:space="preserve">institūciju sniegtā argumentācija </w:t>
            </w:r>
            <w:r w:rsidR="006D40A7" w:rsidRPr="009340E8">
              <w:rPr>
                <w:bCs/>
              </w:rPr>
              <w:t xml:space="preserve">ir </w:t>
            </w:r>
            <w:r w:rsidRPr="009340E8">
              <w:rPr>
                <w:bCs/>
              </w:rPr>
              <w:t xml:space="preserve">nepietiekama un optimizējot TP projektā plānotos izdevumus, </w:t>
            </w:r>
            <w:r w:rsidR="00976014" w:rsidRPr="009340E8">
              <w:rPr>
                <w:bCs/>
              </w:rPr>
              <w:t xml:space="preserve">veicamo </w:t>
            </w:r>
            <w:r w:rsidR="006D40A7" w:rsidRPr="009340E8">
              <w:rPr>
                <w:bCs/>
              </w:rPr>
              <w:t xml:space="preserve">funkciju izpildi </w:t>
            </w:r>
            <w:r w:rsidRPr="009340E8">
              <w:rPr>
                <w:bCs/>
              </w:rPr>
              <w:t xml:space="preserve">iespējams nodrošināt </w:t>
            </w:r>
            <w:r w:rsidR="00976014" w:rsidRPr="009340E8">
              <w:rPr>
                <w:bCs/>
              </w:rPr>
              <w:t>jau esošo resursu ietvaros vai institūcija</w:t>
            </w:r>
            <w:r w:rsidR="00583CCB" w:rsidRPr="009340E8">
              <w:rPr>
                <w:bCs/>
              </w:rPr>
              <w:t>s</w:t>
            </w:r>
            <w:r w:rsidR="00976014" w:rsidRPr="009340E8">
              <w:rPr>
                <w:bCs/>
              </w:rPr>
              <w:t xml:space="preserve"> pamatbudžeta ietvaros</w:t>
            </w:r>
            <w:r w:rsidR="006D40A7" w:rsidRPr="009340E8">
              <w:rPr>
                <w:bCs/>
              </w:rPr>
              <w:t>.</w:t>
            </w:r>
            <w:r w:rsidR="0001308A" w:rsidRPr="009340E8">
              <w:rPr>
                <w:bCs/>
              </w:rPr>
              <w:t xml:space="preserve"> </w:t>
            </w:r>
          </w:p>
          <w:p w:rsidR="002C6F16" w:rsidRPr="008D680B" w:rsidRDefault="00293373" w:rsidP="00C27343">
            <w:pPr>
              <w:spacing w:after="120"/>
              <w:jc w:val="both"/>
              <w:rPr>
                <w:b/>
                <w:bCs/>
              </w:rPr>
            </w:pPr>
            <w:r w:rsidRPr="008D680B">
              <w:rPr>
                <w:b/>
                <w:bCs/>
              </w:rPr>
              <w:t xml:space="preserve">Pamatojoties uz  Vides aizsardzības un reģionālās attīstības ministrijas iesniegto argumentāciju </w:t>
            </w:r>
            <w:r w:rsidR="00660B26" w:rsidRPr="008D680B">
              <w:rPr>
                <w:b/>
                <w:bCs/>
              </w:rPr>
              <w:t>par reģion</w:t>
            </w:r>
            <w:r w:rsidR="00581480" w:rsidRPr="008D680B">
              <w:rPr>
                <w:b/>
                <w:bCs/>
              </w:rPr>
              <w:t xml:space="preserve">ālo </w:t>
            </w:r>
            <w:r w:rsidR="00660B26" w:rsidRPr="008D680B">
              <w:rPr>
                <w:b/>
                <w:bCs/>
              </w:rPr>
              <w:t xml:space="preserve">ES struktūrfondu informācijas centru funkciju izpildi 2014.-2015. </w:t>
            </w:r>
            <w:r w:rsidR="00DD5BE8" w:rsidRPr="008D680B">
              <w:rPr>
                <w:b/>
                <w:bCs/>
              </w:rPr>
              <w:t>g</w:t>
            </w:r>
            <w:r w:rsidR="00660B26" w:rsidRPr="008D680B">
              <w:rPr>
                <w:b/>
                <w:bCs/>
              </w:rPr>
              <w:t xml:space="preserve">adā </w:t>
            </w:r>
            <w:r w:rsidR="00B510C4" w:rsidRPr="008D680B">
              <w:rPr>
                <w:b/>
                <w:bCs/>
              </w:rPr>
              <w:t xml:space="preserve">plānoto mērķu un rādītāju sasniegšanu atbilstoši ES fondu Komunikācijas stratēģijā noteiktajam, plānošanas reģionu </w:t>
            </w:r>
            <w:r w:rsidRPr="008D680B">
              <w:rPr>
                <w:b/>
                <w:bCs/>
              </w:rPr>
              <w:t xml:space="preserve">TP </w:t>
            </w:r>
            <w:r w:rsidR="00B510C4" w:rsidRPr="008D680B">
              <w:rPr>
                <w:b/>
                <w:bCs/>
              </w:rPr>
              <w:t>projekt</w:t>
            </w:r>
            <w:r w:rsidRPr="008D680B">
              <w:rPr>
                <w:b/>
                <w:bCs/>
              </w:rPr>
              <w:t xml:space="preserve">u īstenošanas laiks tiek pagarināts </w:t>
            </w:r>
            <w:r w:rsidR="00F83A0E" w:rsidRPr="008D680B">
              <w:rPr>
                <w:b/>
                <w:bCs/>
              </w:rPr>
              <w:t xml:space="preserve">līdz 2015. gada 31. decembrim, </w:t>
            </w:r>
            <w:r w:rsidRPr="008D680B">
              <w:rPr>
                <w:b/>
                <w:bCs/>
              </w:rPr>
              <w:t>vienlaikus palielinot projektiem pieejamo finansējumu</w:t>
            </w:r>
            <w:r w:rsidR="00581480" w:rsidRPr="008D680B">
              <w:rPr>
                <w:b/>
                <w:bCs/>
              </w:rPr>
              <w:t xml:space="preserve"> </w:t>
            </w:r>
            <w:r w:rsidRPr="008D680B">
              <w:rPr>
                <w:b/>
                <w:bCs/>
              </w:rPr>
              <w:t>50% apjomā no MK noteikumu Nr.694 2. pielikumā  plānošanas reģionu projektiem noteiktā  TP finansējuma apjoma</w:t>
            </w:r>
            <w:r w:rsidR="00F83A0E" w:rsidRPr="008D680B">
              <w:rPr>
                <w:b/>
                <w:bCs/>
              </w:rPr>
              <w:t>.</w:t>
            </w:r>
          </w:p>
          <w:p w:rsidR="00A737F6" w:rsidRPr="008D680B" w:rsidRDefault="00A737F6" w:rsidP="007B751B">
            <w:pPr>
              <w:spacing w:after="120"/>
              <w:jc w:val="both"/>
              <w:rPr>
                <w:b/>
                <w:bCs/>
              </w:rPr>
            </w:pPr>
            <w:r w:rsidRPr="008D680B">
              <w:rPr>
                <w:b/>
              </w:rPr>
              <w:t xml:space="preserve">Plānošanas reģioni </w:t>
            </w:r>
            <w:r w:rsidRPr="008D680B">
              <w:rPr>
                <w:b/>
                <w:bCs/>
              </w:rPr>
              <w:t>pirms projekta grozījumu iesniegšanas sadarbības iestādē saskaņo tos ar E</w:t>
            </w:r>
            <w:r w:rsidR="00581480" w:rsidRPr="008D680B">
              <w:rPr>
                <w:b/>
                <w:bCs/>
              </w:rPr>
              <w:t xml:space="preserve">S </w:t>
            </w:r>
            <w:r w:rsidRPr="008D680B">
              <w:rPr>
                <w:b/>
                <w:bCs/>
              </w:rPr>
              <w:t>fondu komunikācijas vadības grupu.</w:t>
            </w:r>
          </w:p>
          <w:p w:rsidR="00A871BF" w:rsidRPr="00C701BF" w:rsidRDefault="00A871BF" w:rsidP="007B751B">
            <w:pPr>
              <w:spacing w:after="120"/>
              <w:jc w:val="both"/>
              <w:rPr>
                <w:bCs/>
              </w:rPr>
            </w:pPr>
            <w:r w:rsidRPr="00C701BF">
              <w:rPr>
                <w:bCs/>
              </w:rPr>
              <w:t>Ņ</w:t>
            </w:r>
            <w:r w:rsidR="00257991" w:rsidRPr="00C701BF">
              <w:rPr>
                <w:bCs/>
              </w:rPr>
              <w:t>emot vērā finansējuma rezerv</w:t>
            </w:r>
            <w:r w:rsidRPr="00C701BF">
              <w:rPr>
                <w:bCs/>
              </w:rPr>
              <w:t>es ierobežoto apjomu</w:t>
            </w:r>
            <w:r w:rsidR="00257991" w:rsidRPr="00C701BF">
              <w:rPr>
                <w:bCs/>
              </w:rPr>
              <w:t xml:space="preserve"> un TP galveno mērķi</w:t>
            </w:r>
            <w:r w:rsidR="006D40A7" w:rsidRPr="00C701BF">
              <w:rPr>
                <w:bCs/>
              </w:rPr>
              <w:t xml:space="preserve"> ─ </w:t>
            </w:r>
            <w:r w:rsidR="00257991" w:rsidRPr="00C701BF">
              <w:rPr>
                <w:bCs/>
              </w:rPr>
              <w:t xml:space="preserve"> nodrošināt atbilstošu ES fondu administrēšanu</w:t>
            </w:r>
            <w:r w:rsidR="00F939EA" w:rsidRPr="00C701BF">
              <w:rPr>
                <w:bCs/>
              </w:rPr>
              <w:t xml:space="preserve"> (primāri atalgojumu)</w:t>
            </w:r>
            <w:r w:rsidR="00257991" w:rsidRPr="00C701BF">
              <w:rPr>
                <w:bCs/>
              </w:rPr>
              <w:t xml:space="preserve">, šajā TP projektu ieviešanas posmā </w:t>
            </w:r>
            <w:r w:rsidRPr="00C701BF">
              <w:rPr>
                <w:bCs/>
              </w:rPr>
              <w:t xml:space="preserve">prioritāte </w:t>
            </w:r>
            <w:r w:rsidR="00257991" w:rsidRPr="00C701BF">
              <w:rPr>
                <w:bCs/>
              </w:rPr>
              <w:t xml:space="preserve">ir nodrošināt atalgojuma </w:t>
            </w:r>
            <w:r w:rsidRPr="00C701BF">
              <w:rPr>
                <w:bCs/>
              </w:rPr>
              <w:t xml:space="preserve">garantijas </w:t>
            </w:r>
            <w:r w:rsidR="00B8176A" w:rsidRPr="00C701BF">
              <w:rPr>
                <w:bCs/>
              </w:rPr>
              <w:t xml:space="preserve">un nepārtrauktību </w:t>
            </w:r>
            <w:r w:rsidR="002706A8" w:rsidRPr="00C701BF">
              <w:rPr>
                <w:bCs/>
              </w:rPr>
              <w:t xml:space="preserve">tiem finansējuma saņēmējiem, kuriem </w:t>
            </w:r>
            <w:r w:rsidRPr="00C701BF">
              <w:rPr>
                <w:bCs/>
              </w:rPr>
              <w:t xml:space="preserve">TP projektā </w:t>
            </w:r>
            <w:r w:rsidR="002706A8" w:rsidRPr="00C701BF">
              <w:rPr>
                <w:bCs/>
              </w:rPr>
              <w:t xml:space="preserve">finansējums atlīdzībai </w:t>
            </w:r>
            <w:r w:rsidRPr="00C701BF">
              <w:rPr>
                <w:bCs/>
              </w:rPr>
              <w:t>nav plānots</w:t>
            </w:r>
            <w:r w:rsidR="002706A8" w:rsidRPr="00C701BF">
              <w:rPr>
                <w:bCs/>
              </w:rPr>
              <w:t xml:space="preserve">  2014. </w:t>
            </w:r>
            <w:r w:rsidR="00946DC8" w:rsidRPr="00C701BF">
              <w:rPr>
                <w:bCs/>
              </w:rPr>
              <w:t xml:space="preserve">─ </w:t>
            </w:r>
            <w:r w:rsidR="002706A8" w:rsidRPr="00C701BF">
              <w:rPr>
                <w:bCs/>
              </w:rPr>
              <w:t xml:space="preserve"> 2015.</w:t>
            </w:r>
            <w:r w:rsidRPr="00C701BF">
              <w:rPr>
                <w:bCs/>
              </w:rPr>
              <w:t>g</w:t>
            </w:r>
            <w:r w:rsidR="002706A8" w:rsidRPr="00C701BF">
              <w:rPr>
                <w:bCs/>
              </w:rPr>
              <w:t>adam</w:t>
            </w:r>
            <w:r w:rsidR="00B8176A" w:rsidRPr="00C701BF">
              <w:rPr>
                <w:bCs/>
              </w:rPr>
              <w:t>.</w:t>
            </w:r>
          </w:p>
          <w:p w:rsidR="002A0348" w:rsidRDefault="00A871BF" w:rsidP="007B751B">
            <w:pPr>
              <w:spacing w:after="120"/>
              <w:jc w:val="both"/>
              <w:rPr>
                <w:bCs/>
              </w:rPr>
            </w:pPr>
            <w:r w:rsidRPr="00C701BF">
              <w:rPr>
                <w:bCs/>
              </w:rPr>
              <w:t xml:space="preserve">Papildus vērā ņemts fakts, ka TP 1. kārtā </w:t>
            </w:r>
            <w:r w:rsidR="002A0348" w:rsidRPr="00C701BF">
              <w:rPr>
                <w:bCs/>
              </w:rPr>
              <w:t xml:space="preserve">projektu ieviešanas </w:t>
            </w:r>
            <w:r w:rsidR="00FB5359">
              <w:rPr>
                <w:bCs/>
              </w:rPr>
              <w:t>gaitā, kā arī 2012. gada pirmajos trīs ceturkšņos</w:t>
            </w:r>
            <w:r w:rsidR="00D31344">
              <w:rPr>
                <w:bCs/>
              </w:rPr>
              <w:t xml:space="preserve"> uzsākot TP 2. kārtu,</w:t>
            </w:r>
            <w:r w:rsidR="00FB5359">
              <w:rPr>
                <w:bCs/>
              </w:rPr>
              <w:t xml:space="preserve"> </w:t>
            </w:r>
            <w:r w:rsidRPr="00C701BF">
              <w:rPr>
                <w:bCs/>
              </w:rPr>
              <w:t xml:space="preserve">veidojās </w:t>
            </w:r>
            <w:r w:rsidR="002A0348" w:rsidRPr="00C701BF">
              <w:rPr>
                <w:bCs/>
              </w:rPr>
              <w:t>apjomīg</w:t>
            </w:r>
            <w:r w:rsidRPr="00C701BF">
              <w:rPr>
                <w:bCs/>
              </w:rPr>
              <w:t xml:space="preserve">i </w:t>
            </w:r>
            <w:r w:rsidR="00B8176A" w:rsidRPr="00C701BF">
              <w:rPr>
                <w:bCs/>
              </w:rPr>
              <w:t xml:space="preserve">TP </w:t>
            </w:r>
            <w:r w:rsidRPr="00C701BF">
              <w:rPr>
                <w:bCs/>
              </w:rPr>
              <w:t>finansējuma atlikumi</w:t>
            </w:r>
            <w:r w:rsidR="002A0348" w:rsidRPr="00C701BF">
              <w:rPr>
                <w:bCs/>
              </w:rPr>
              <w:t xml:space="preserve">, </w:t>
            </w:r>
            <w:r w:rsidRPr="00C701BF">
              <w:rPr>
                <w:bCs/>
              </w:rPr>
              <w:t xml:space="preserve">tāpēc </w:t>
            </w:r>
            <w:r w:rsidR="002A0348" w:rsidRPr="00C701BF">
              <w:rPr>
                <w:bCs/>
              </w:rPr>
              <w:t>TP 2.kārtas ietvaros</w:t>
            </w:r>
            <w:r w:rsidRPr="00C701BF">
              <w:rPr>
                <w:bCs/>
              </w:rPr>
              <w:t xml:space="preserve"> (l</w:t>
            </w:r>
            <w:r w:rsidR="002A0348" w:rsidRPr="00C701BF">
              <w:rPr>
                <w:bCs/>
              </w:rPr>
              <w:t>īdz 2015.gada 31.</w:t>
            </w:r>
            <w:r w:rsidRPr="00C701BF">
              <w:rPr>
                <w:bCs/>
              </w:rPr>
              <w:t>d</w:t>
            </w:r>
            <w:r w:rsidR="002A0348" w:rsidRPr="00C701BF">
              <w:rPr>
                <w:bCs/>
              </w:rPr>
              <w:t>ecembrim</w:t>
            </w:r>
            <w:r w:rsidRPr="00C701BF">
              <w:rPr>
                <w:bCs/>
              </w:rPr>
              <w:t xml:space="preserve">) līdzīgu atlikumu veidošanās </w:t>
            </w:r>
            <w:r w:rsidR="006D40A7" w:rsidRPr="00C701BF">
              <w:rPr>
                <w:bCs/>
              </w:rPr>
              <w:t xml:space="preserve">gadījumā </w:t>
            </w:r>
            <w:r w:rsidR="002A0348" w:rsidRPr="00C701BF">
              <w:rPr>
                <w:bCs/>
              </w:rPr>
              <w:t>iespēju robežās varēs pārdalīt atalgojuma pozīcijas palielināšanai, nodrošin</w:t>
            </w:r>
            <w:r w:rsidR="00214E1D" w:rsidRPr="00C701BF">
              <w:rPr>
                <w:bCs/>
              </w:rPr>
              <w:t>ot</w:t>
            </w:r>
            <w:r w:rsidR="002A0348" w:rsidRPr="00C701BF">
              <w:rPr>
                <w:bCs/>
              </w:rPr>
              <w:t xml:space="preserve"> atalgojum</w:t>
            </w:r>
            <w:r w:rsidR="00214E1D" w:rsidRPr="00C701BF">
              <w:rPr>
                <w:bCs/>
              </w:rPr>
              <w:t>a</w:t>
            </w:r>
            <w:r w:rsidR="00C701BF">
              <w:rPr>
                <w:bCs/>
              </w:rPr>
              <w:t xml:space="preserve"> izmaksa</w:t>
            </w:r>
            <w:r w:rsidR="00214E1D" w:rsidRPr="00C701BF">
              <w:rPr>
                <w:bCs/>
              </w:rPr>
              <w:t>s</w:t>
            </w:r>
            <w:r w:rsidR="002A0348" w:rsidRPr="00C701BF">
              <w:rPr>
                <w:bCs/>
              </w:rPr>
              <w:t xml:space="preserve"> nepieciešamajā apmērā līdz projekta īstenošanas beigām.</w:t>
            </w:r>
          </w:p>
          <w:p w:rsidR="00FB5359" w:rsidRDefault="00FB5359" w:rsidP="00FB5359">
            <w:pPr>
              <w:spacing w:after="120"/>
              <w:jc w:val="both"/>
            </w:pPr>
            <w:r w:rsidRPr="00C701BF">
              <w:rPr>
                <w:bCs/>
              </w:rPr>
              <w:t>Attiecībā uz papildus pieprasīto finansējumu pārējām izdevumu pozīcijām MK noteikumi Nr.694 paredz iespēju palielināt pr</w:t>
            </w:r>
            <w:r>
              <w:rPr>
                <w:bCs/>
              </w:rPr>
              <w:t>ojekta kopējo attiecināmo summu</w:t>
            </w:r>
            <w:r w:rsidRPr="00C701BF">
              <w:rPr>
                <w:bCs/>
              </w:rPr>
              <w:t xml:space="preserve"> no </w:t>
            </w:r>
            <w:r>
              <w:t>kopējās finansējuma rezerves</w:t>
            </w:r>
            <w:r w:rsidRPr="00C701BF">
              <w:t xml:space="preserve"> prioritāri  </w:t>
            </w:r>
            <w:r>
              <w:t xml:space="preserve">─ </w:t>
            </w:r>
            <w:r w:rsidRPr="00C701BF">
              <w:t>pasākumiem, kas saistīti ar 2014.</w:t>
            </w:r>
            <w:r>
              <w:t xml:space="preserve"> </w:t>
            </w:r>
            <w:r w:rsidRPr="00C701BF">
              <w:t>-</w:t>
            </w:r>
            <w:r>
              <w:t xml:space="preserve"> </w:t>
            </w:r>
            <w:r w:rsidRPr="00C701BF">
              <w:t xml:space="preserve">2020. gada plānošanas periodu, </w:t>
            </w:r>
            <w:proofErr w:type="spellStart"/>
            <w:r w:rsidRPr="00C701BF">
              <w:t>t.sk</w:t>
            </w:r>
            <w:proofErr w:type="spellEnd"/>
            <w:r w:rsidRPr="00C701BF">
              <w:t>. vadības informācijas sistēmas izveidei, sniedzot argumentētu skaidrojumu par apstākļiem, kuriem ir ietekme uz projektā esošo aktivitāšu mērķu sasniegšanu pieejamā finansējuma ietvaros, šādu palielinājumu  oficiāli saskaņojot ar vadošo iestādi.</w:t>
            </w:r>
          </w:p>
          <w:p w:rsidR="00206FEF" w:rsidRPr="006641C9" w:rsidRDefault="00E73E75" w:rsidP="00FB5359">
            <w:pPr>
              <w:spacing w:after="120"/>
              <w:jc w:val="both"/>
              <w:rPr>
                <w:b/>
              </w:rPr>
            </w:pPr>
            <w:r w:rsidRPr="006641C9">
              <w:rPr>
                <w:b/>
              </w:rPr>
              <w:t>Atbilstoši MK noteikumu 11.punktā noteiktajam p</w:t>
            </w:r>
            <w:r w:rsidR="00D34F12" w:rsidRPr="006641C9">
              <w:rPr>
                <w:b/>
              </w:rPr>
              <w:t xml:space="preserve">ēc </w:t>
            </w:r>
            <w:r w:rsidR="003E6238" w:rsidRPr="006641C9">
              <w:rPr>
                <w:b/>
              </w:rPr>
              <w:t xml:space="preserve">TP </w:t>
            </w:r>
            <w:r w:rsidR="00127958" w:rsidRPr="006641C9">
              <w:rPr>
                <w:b/>
              </w:rPr>
              <w:lastRenderedPageBreak/>
              <w:t>finansējuma saņēmēja  priekšlikumu</w:t>
            </w:r>
            <w:r w:rsidR="006641C9" w:rsidRPr="006641C9">
              <w:rPr>
                <w:b/>
              </w:rPr>
              <w:t xml:space="preserve"> saņemšanas</w:t>
            </w:r>
            <w:r w:rsidR="00127958" w:rsidRPr="006641C9">
              <w:rPr>
                <w:b/>
              </w:rPr>
              <w:t xml:space="preserve"> </w:t>
            </w:r>
            <w:r w:rsidR="003E6238" w:rsidRPr="006641C9">
              <w:rPr>
                <w:b/>
              </w:rPr>
              <w:t>projekta</w:t>
            </w:r>
            <w:r w:rsidR="00B87430" w:rsidRPr="006641C9">
              <w:rPr>
                <w:b/>
              </w:rPr>
              <w:t xml:space="preserve"> maksimāli pieejam</w:t>
            </w:r>
            <w:r w:rsidR="00127958" w:rsidRPr="006641C9">
              <w:rPr>
                <w:b/>
              </w:rPr>
              <w:t>ā finansējuma palielināšanai no TP</w:t>
            </w:r>
            <w:r w:rsidR="003E6238" w:rsidRPr="006641C9">
              <w:rPr>
                <w:b/>
              </w:rPr>
              <w:t xml:space="preserve"> finansējuma rezerves</w:t>
            </w:r>
            <w:r w:rsidR="00127958" w:rsidRPr="006641C9">
              <w:rPr>
                <w:b/>
              </w:rPr>
              <w:t xml:space="preserve"> </w:t>
            </w:r>
            <w:r w:rsidR="003E6238" w:rsidRPr="006641C9">
              <w:rPr>
                <w:b/>
              </w:rPr>
              <w:t xml:space="preserve">vadošā iestāde kopā ar sadarbības iestādi </w:t>
            </w:r>
            <w:r w:rsidR="00127958" w:rsidRPr="006641C9">
              <w:rPr>
                <w:b/>
              </w:rPr>
              <w:t>izvērtē priekšlikum</w:t>
            </w:r>
            <w:r w:rsidR="00D34F12" w:rsidRPr="006641C9">
              <w:rPr>
                <w:b/>
              </w:rPr>
              <w:t>ā</w:t>
            </w:r>
            <w:r w:rsidR="00127958" w:rsidRPr="006641C9">
              <w:rPr>
                <w:b/>
              </w:rPr>
              <w:t xml:space="preserve"> sniegto pamatojumu  un pieņem lēmumu par maksimālā TP finansējuma apjoma palielināšanu</w:t>
            </w:r>
            <w:r w:rsidR="00D34F12" w:rsidRPr="006641C9">
              <w:rPr>
                <w:b/>
              </w:rPr>
              <w:t>, kā arī atbilstoši FM iekšējā normatīvā aktā noteiktajam v</w:t>
            </w:r>
            <w:r w:rsidR="00206FEF" w:rsidRPr="006641C9">
              <w:rPr>
                <w:b/>
              </w:rPr>
              <w:t>ienojas par nepieciešamajiem precizējumiem attiecībā uz ES fondu TP aktivitāšu izdevumu deklarēšanas proporcijām</w:t>
            </w:r>
            <w:r w:rsidR="00B87430" w:rsidRPr="006641C9">
              <w:rPr>
                <w:b/>
              </w:rPr>
              <w:t xml:space="preserve">, lai finansējuma saņēmējs varētu iesniegt sadarbības iestādē </w:t>
            </w:r>
            <w:r w:rsidRPr="006641C9">
              <w:rPr>
                <w:b/>
              </w:rPr>
              <w:t>atbilst</w:t>
            </w:r>
            <w:r w:rsidR="00B87430" w:rsidRPr="006641C9">
              <w:rPr>
                <w:b/>
              </w:rPr>
              <w:t>ošus projekta grozījumus.</w:t>
            </w:r>
          </w:p>
          <w:p w:rsidR="003E6238" w:rsidRPr="006641C9" w:rsidRDefault="00EF23A0" w:rsidP="00FB5359">
            <w:pPr>
              <w:spacing w:after="120"/>
              <w:jc w:val="both"/>
              <w:rPr>
                <w:b/>
              </w:rPr>
            </w:pPr>
            <w:r w:rsidRPr="006641C9">
              <w:rPr>
                <w:b/>
              </w:rPr>
              <w:t xml:space="preserve">MK noteikumu 1. un 2. </w:t>
            </w:r>
            <w:r w:rsidR="00D34F12" w:rsidRPr="006641C9">
              <w:rPr>
                <w:b/>
              </w:rPr>
              <w:t>p</w:t>
            </w:r>
            <w:r w:rsidRPr="006641C9">
              <w:rPr>
                <w:b/>
              </w:rPr>
              <w:t>ielikum</w:t>
            </w:r>
            <w:r w:rsidR="00D34F12" w:rsidRPr="006641C9">
              <w:rPr>
                <w:b/>
              </w:rPr>
              <w:t>a</w:t>
            </w:r>
            <w:r w:rsidRPr="006641C9">
              <w:rPr>
                <w:b/>
              </w:rPr>
              <w:t xml:space="preserve"> precizē</w:t>
            </w:r>
            <w:r w:rsidR="00D34F12" w:rsidRPr="006641C9">
              <w:rPr>
                <w:b/>
              </w:rPr>
              <w:t xml:space="preserve">jumi tiek veikti pēc          </w:t>
            </w:r>
            <w:r w:rsidRPr="006641C9">
              <w:rPr>
                <w:b/>
              </w:rPr>
              <w:t>8.punktā noteikt</w:t>
            </w:r>
            <w:r w:rsidR="00D34F12" w:rsidRPr="006641C9">
              <w:rPr>
                <w:b/>
              </w:rPr>
              <w:t>ās TP</w:t>
            </w:r>
            <w:r w:rsidRPr="006641C9">
              <w:rPr>
                <w:b/>
              </w:rPr>
              <w:t xml:space="preserve"> finansējuma rezerves </w:t>
            </w:r>
            <w:r w:rsidR="00D34F12" w:rsidRPr="006641C9">
              <w:rPr>
                <w:b/>
              </w:rPr>
              <w:t>pārdales un TP 2. kārtas  projektu galīgo kopsummu precizēšanas</w:t>
            </w:r>
            <w:r w:rsidRPr="006641C9">
              <w:rPr>
                <w:b/>
              </w:rPr>
              <w:t xml:space="preserve">. </w:t>
            </w:r>
          </w:p>
          <w:p w:rsidR="007B751B" w:rsidRDefault="007B751B" w:rsidP="007B751B">
            <w:pPr>
              <w:spacing w:after="120"/>
              <w:jc w:val="both"/>
              <w:rPr>
                <w:lang w:eastAsia="en-US"/>
              </w:rPr>
            </w:pPr>
            <w:r>
              <w:rPr>
                <w:lang w:eastAsia="en-US"/>
              </w:rPr>
              <w:t xml:space="preserve">Lemjot par papildu finansējuma apjomu konkrētiem projektiem  ņemts vērā, ka indikatīvi no 2014.gada būs pieejams jaunā plānošanas perioda TP finansējums, kas  nepieciešamības gadījumā risinās TP finansējuma pieejamību tām </w:t>
            </w:r>
            <w:r w:rsidR="00D31344">
              <w:rPr>
                <w:lang w:eastAsia="en-US"/>
              </w:rPr>
              <w:t>atbildīgajam iestādēm un sadarbības iestādēm</w:t>
            </w:r>
            <w:r>
              <w:rPr>
                <w:lang w:eastAsia="en-US"/>
              </w:rPr>
              <w:t>, k</w:t>
            </w:r>
            <w:r w:rsidR="00D31344">
              <w:rPr>
                <w:lang w:eastAsia="en-US"/>
              </w:rPr>
              <w:t>uras</w:t>
            </w:r>
            <w:r>
              <w:rPr>
                <w:lang w:eastAsia="en-US"/>
              </w:rPr>
              <w:t xml:space="preserve"> iesaistītas 2014. – 2020. gada </w:t>
            </w:r>
            <w:r w:rsidR="00DD5BE8">
              <w:rPr>
                <w:lang w:eastAsia="en-US"/>
              </w:rPr>
              <w:t xml:space="preserve">plānošanas </w:t>
            </w:r>
            <w:r>
              <w:rPr>
                <w:lang w:eastAsia="en-US"/>
              </w:rPr>
              <w:t>perioda sagatavošanā un uzsākšanā.</w:t>
            </w:r>
          </w:p>
          <w:p w:rsidR="009340E8" w:rsidRDefault="006D40A7" w:rsidP="00FB5359">
            <w:pPr>
              <w:spacing w:after="120"/>
              <w:jc w:val="both"/>
              <w:rPr>
                <w:bCs/>
              </w:rPr>
            </w:pPr>
            <w:r w:rsidRPr="00C701BF">
              <w:rPr>
                <w:bCs/>
              </w:rPr>
              <w:t xml:space="preserve">MK noteikumos </w:t>
            </w:r>
            <w:r w:rsidR="00214E1D" w:rsidRPr="00C701BF">
              <w:rPr>
                <w:bCs/>
              </w:rPr>
              <w:t>veikti red</w:t>
            </w:r>
            <w:r w:rsidR="00C701BF">
              <w:rPr>
                <w:bCs/>
              </w:rPr>
              <w:t>akcionāli precizējumi attiecībā</w:t>
            </w:r>
            <w:r w:rsidRPr="00C701BF">
              <w:rPr>
                <w:bCs/>
              </w:rPr>
              <w:t xml:space="preserve"> </w:t>
            </w:r>
            <w:r w:rsidR="00214E1D" w:rsidRPr="00C701BF">
              <w:rPr>
                <w:bCs/>
              </w:rPr>
              <w:t xml:space="preserve">uz </w:t>
            </w:r>
            <w:r w:rsidRPr="00C701BF">
              <w:rPr>
                <w:bCs/>
              </w:rPr>
              <w:t xml:space="preserve">piemaksu </w:t>
            </w:r>
            <w:proofErr w:type="spellStart"/>
            <w:r w:rsidRPr="00C701BF">
              <w:rPr>
                <w:bCs/>
              </w:rPr>
              <w:t>attiecināmīb</w:t>
            </w:r>
            <w:r w:rsidR="00214E1D" w:rsidRPr="00C701BF">
              <w:rPr>
                <w:bCs/>
              </w:rPr>
              <w:t>u</w:t>
            </w:r>
            <w:proofErr w:type="spellEnd"/>
            <w:r w:rsidRPr="00C701BF">
              <w:rPr>
                <w:bCs/>
              </w:rPr>
              <w:t xml:space="preserve"> gadījumos, kad </w:t>
            </w:r>
            <w:r w:rsidR="00442751" w:rsidRPr="00C701BF">
              <w:rPr>
                <w:bCs/>
              </w:rPr>
              <w:t>no TP līdzekļiem</w:t>
            </w:r>
            <w:r w:rsidR="00B8176A" w:rsidRPr="00C701BF">
              <w:rPr>
                <w:bCs/>
              </w:rPr>
              <w:t xml:space="preserve"> tiek veiktas piemaksas</w:t>
            </w:r>
            <w:r w:rsidR="00442751" w:rsidRPr="00C701BF">
              <w:rPr>
                <w:bCs/>
              </w:rPr>
              <w:t xml:space="preserve">, ja </w:t>
            </w:r>
            <w:r w:rsidR="00F91E28" w:rsidRPr="00C701BF">
              <w:rPr>
                <w:bCs/>
              </w:rPr>
              <w:t>aizvietojamā darbinieka</w:t>
            </w:r>
            <w:r w:rsidR="00442751" w:rsidRPr="00C701BF">
              <w:rPr>
                <w:bCs/>
              </w:rPr>
              <w:t xml:space="preserve"> amata pienākumi ir </w:t>
            </w:r>
            <w:r w:rsidR="00F91E28" w:rsidRPr="00C701BF">
              <w:rPr>
                <w:bCs/>
              </w:rPr>
              <w:t>MK noteikum</w:t>
            </w:r>
            <w:r w:rsidR="00214E1D" w:rsidRPr="00C701BF">
              <w:rPr>
                <w:bCs/>
              </w:rPr>
              <w:t>os</w:t>
            </w:r>
            <w:r w:rsidR="00F91E28" w:rsidRPr="00C701BF">
              <w:rPr>
                <w:bCs/>
              </w:rPr>
              <w:t xml:space="preserve"> </w:t>
            </w:r>
            <w:r w:rsidR="00214E1D" w:rsidRPr="00C701BF">
              <w:rPr>
                <w:bCs/>
              </w:rPr>
              <w:t xml:space="preserve">noteiktā </w:t>
            </w:r>
            <w:r w:rsidR="00F91E28" w:rsidRPr="00C701BF">
              <w:rPr>
                <w:bCs/>
              </w:rPr>
              <w:t>atbalstāmā darbība</w:t>
            </w:r>
            <w:r w:rsidR="00214E1D" w:rsidRPr="00C701BF">
              <w:rPr>
                <w:bCs/>
              </w:rPr>
              <w:t>, kā arī izdevumiem, kuri no TP līdzekļiem nav attiecināmi, tādējādi nodrošinot TP līdzekļu maksimāli efektīvu izmantošanu un novēršot neatbilstoši veiktu izdevumu riskus nākotnē</w:t>
            </w:r>
            <w:r w:rsidR="00F91E28" w:rsidRPr="00C701BF">
              <w:rPr>
                <w:bCs/>
              </w:rPr>
              <w:t>.</w:t>
            </w:r>
          </w:p>
          <w:p w:rsidR="000922E2" w:rsidRPr="000922E2" w:rsidRDefault="000922E2" w:rsidP="000922E2">
            <w:pPr>
              <w:jc w:val="both"/>
              <w:rPr>
                <w:bCs/>
              </w:rPr>
            </w:pPr>
            <w:r>
              <w:rPr>
                <w:bCs/>
              </w:rPr>
              <w:t>S</w:t>
            </w:r>
            <w:proofErr w:type="spellStart"/>
            <w:r w:rsidR="00EB192E" w:rsidRPr="000922E2">
              <w:rPr>
                <w:bCs/>
                <w:lang w:val="x-none"/>
              </w:rPr>
              <w:t>askaņā</w:t>
            </w:r>
            <w:proofErr w:type="spellEnd"/>
            <w:r w:rsidRPr="000922E2">
              <w:rPr>
                <w:bCs/>
                <w:lang w:val="x-none"/>
              </w:rPr>
              <w:t xml:space="preserve"> ar MK 2012.gada 28.februāra sēdes protokola Nr.11 27.§</w:t>
            </w:r>
            <w:r w:rsidRPr="000922E2">
              <w:rPr>
                <w:bCs/>
              </w:rPr>
              <w:t xml:space="preserve"> noteikto </w:t>
            </w:r>
            <w:r w:rsidR="003D2A40">
              <w:rPr>
                <w:bCs/>
              </w:rPr>
              <w:t>TP</w:t>
            </w:r>
            <w:r>
              <w:rPr>
                <w:bCs/>
              </w:rPr>
              <w:t xml:space="preserve"> </w:t>
            </w:r>
            <w:r w:rsidR="004119D0">
              <w:rPr>
                <w:bCs/>
              </w:rPr>
              <w:t>finansējuma maksimāli efektīvai izlietošanai ir jānodrošina atalgojuma daļveida attiecināšana un atbilstoša elektronisk</w:t>
            </w:r>
            <w:r w:rsidR="00DA02B4">
              <w:rPr>
                <w:bCs/>
              </w:rPr>
              <w:t>a</w:t>
            </w:r>
            <w:r w:rsidR="004119D0">
              <w:rPr>
                <w:bCs/>
              </w:rPr>
              <w:t xml:space="preserve"> darba laika  uzskaite, lai novērstu </w:t>
            </w:r>
            <w:r w:rsidR="00DA02B4">
              <w:rPr>
                <w:bCs/>
              </w:rPr>
              <w:t xml:space="preserve">ES fondu TP līdzekļu </w:t>
            </w:r>
            <w:proofErr w:type="spellStart"/>
            <w:r w:rsidR="004119D0">
              <w:rPr>
                <w:bCs/>
              </w:rPr>
              <w:t>neattiecināmības</w:t>
            </w:r>
            <w:proofErr w:type="spellEnd"/>
            <w:r w:rsidR="004119D0">
              <w:rPr>
                <w:bCs/>
              </w:rPr>
              <w:t xml:space="preserve"> riskus.</w:t>
            </w:r>
          </w:p>
          <w:p w:rsidR="000922E2" w:rsidRPr="000922E2" w:rsidRDefault="000922E2" w:rsidP="000922E2">
            <w:pPr>
              <w:jc w:val="both"/>
            </w:pPr>
            <w:r w:rsidRPr="000922E2">
              <w:t>2007</w:t>
            </w:r>
            <w:r>
              <w:t>.</w:t>
            </w:r>
            <w:r w:rsidR="007058A1">
              <w:t xml:space="preserve"> </w:t>
            </w:r>
            <w:r>
              <w:t>-</w:t>
            </w:r>
            <w:r w:rsidR="007058A1">
              <w:t xml:space="preserve"> </w:t>
            </w:r>
            <w:r>
              <w:t xml:space="preserve">2013.gada </w:t>
            </w:r>
            <w:r w:rsidR="004119D0">
              <w:t xml:space="preserve">plānošanas periodā  ierobežoto </w:t>
            </w:r>
            <w:r w:rsidRPr="004119D0">
              <w:rPr>
                <w:bCs/>
              </w:rPr>
              <w:t>TP resurs</w:t>
            </w:r>
            <w:r w:rsidR="004119D0" w:rsidRPr="004119D0">
              <w:rPr>
                <w:bCs/>
              </w:rPr>
              <w:t>u dēļ</w:t>
            </w:r>
            <w:r w:rsidRPr="004119D0">
              <w:rPr>
                <w:bCs/>
              </w:rPr>
              <w:t xml:space="preserve"> </w:t>
            </w:r>
            <w:r w:rsidRPr="000922E2">
              <w:t xml:space="preserve">atalgojuma daļveida attiecināšanas sistēmas izveidei un ieviešanai  ES fondu vadībā iesaistītajās iestādēs nav nepieciešamo </w:t>
            </w:r>
            <w:r w:rsidR="00F4199D">
              <w:t xml:space="preserve">finanšu, administratīvo un  IT resursu. </w:t>
            </w:r>
          </w:p>
          <w:p w:rsidR="000922E2" w:rsidRPr="00C701BF" w:rsidRDefault="000922E2" w:rsidP="00CB2942">
            <w:pPr>
              <w:pStyle w:val="2lmenis"/>
              <w:spacing w:before="0" w:after="0"/>
              <w:ind w:left="0"/>
              <w:jc w:val="both"/>
              <w:rPr>
                <w:bCs w:val="0"/>
              </w:rPr>
            </w:pPr>
            <w:r w:rsidRPr="000922E2">
              <w:rPr>
                <w:b w:val="0"/>
                <w:bCs w:val="0"/>
                <w:sz w:val="24"/>
                <w:szCs w:val="24"/>
                <w:lang w:val="x-none"/>
              </w:rPr>
              <w:t>Informatīvā ziņojum</w:t>
            </w:r>
            <w:r w:rsidR="004119D0">
              <w:rPr>
                <w:b w:val="0"/>
                <w:bCs w:val="0"/>
                <w:sz w:val="24"/>
                <w:szCs w:val="24"/>
              </w:rPr>
              <w:t>a</w:t>
            </w:r>
            <w:r w:rsidRPr="000922E2">
              <w:rPr>
                <w:b w:val="0"/>
                <w:bCs w:val="0"/>
                <w:sz w:val="24"/>
                <w:szCs w:val="24"/>
                <w:lang w:val="x-none"/>
              </w:rPr>
              <w:t xml:space="preserve"> par </w:t>
            </w:r>
            <w:r w:rsidRPr="000922E2">
              <w:rPr>
                <w:b w:val="0"/>
                <w:bCs w:val="0"/>
                <w:sz w:val="24"/>
                <w:szCs w:val="24"/>
              </w:rPr>
              <w:t>ES</w:t>
            </w:r>
            <w:r w:rsidRPr="000922E2">
              <w:rPr>
                <w:b w:val="0"/>
                <w:bCs w:val="0"/>
                <w:sz w:val="24"/>
                <w:szCs w:val="24"/>
                <w:lang w:val="x-none"/>
              </w:rPr>
              <w:t xml:space="preserve"> struktūrfondu un Kohēzijas fonda, Eiropas Ekonomikas zonas finanšu instrumenta, Norvēģijas finanšu instrumenta un Latvijas un Šveices sadarbības programmas apguvi līdz 2012.gada 30.septembrim </w:t>
            </w:r>
            <w:r w:rsidR="004119D0">
              <w:rPr>
                <w:b w:val="0"/>
                <w:bCs w:val="0"/>
                <w:sz w:val="24"/>
                <w:szCs w:val="24"/>
              </w:rPr>
              <w:t>7.1.</w:t>
            </w:r>
            <w:r w:rsidRPr="000922E2">
              <w:rPr>
                <w:b w:val="0"/>
                <w:bCs w:val="0"/>
                <w:sz w:val="24"/>
                <w:szCs w:val="24"/>
              </w:rPr>
              <w:t>sadaļā „Veiktie pasākumi ES fondu vadības un kont</w:t>
            </w:r>
            <w:r w:rsidR="004119D0">
              <w:rPr>
                <w:b w:val="0"/>
                <w:bCs w:val="0"/>
                <w:sz w:val="24"/>
                <w:szCs w:val="24"/>
              </w:rPr>
              <w:t xml:space="preserve">roles sistēmas pilnveidošanai” </w:t>
            </w:r>
            <w:r w:rsidR="00DA02B4">
              <w:rPr>
                <w:b w:val="0"/>
                <w:bCs w:val="0"/>
                <w:sz w:val="24"/>
                <w:szCs w:val="24"/>
              </w:rPr>
              <w:t xml:space="preserve">ir </w:t>
            </w:r>
            <w:r w:rsidR="004119D0">
              <w:rPr>
                <w:b w:val="0"/>
                <w:bCs w:val="0"/>
                <w:sz w:val="24"/>
                <w:szCs w:val="24"/>
              </w:rPr>
              <w:t xml:space="preserve">sniegta progresa informācija, proti, </w:t>
            </w:r>
            <w:r w:rsidRPr="000922E2">
              <w:rPr>
                <w:b w:val="0"/>
                <w:bCs w:val="0"/>
                <w:sz w:val="24"/>
                <w:szCs w:val="24"/>
                <w:lang w:val="x-none"/>
              </w:rPr>
              <w:t xml:space="preserve">paralēli pilotprojekta virzībai FM šādas uzskaites ieviešanai </w:t>
            </w:r>
            <w:r w:rsidR="004119D0">
              <w:rPr>
                <w:b w:val="0"/>
                <w:bCs w:val="0"/>
                <w:sz w:val="24"/>
                <w:szCs w:val="24"/>
              </w:rPr>
              <w:t xml:space="preserve">ir uzsāktas </w:t>
            </w:r>
            <w:r w:rsidRPr="003D2A40">
              <w:rPr>
                <w:b w:val="0"/>
                <w:sz w:val="24"/>
                <w:szCs w:val="24"/>
              </w:rPr>
              <w:t xml:space="preserve">oficiālas </w:t>
            </w:r>
            <w:r w:rsidRPr="003D2A40">
              <w:rPr>
                <w:b w:val="0"/>
                <w:sz w:val="24"/>
                <w:szCs w:val="24"/>
                <w:lang w:val="x-none"/>
              </w:rPr>
              <w:t>konsultācijas par Eiropas Komisiju, lai vienotos par vienkāršotākas sistēmas izveidi</w:t>
            </w:r>
            <w:r w:rsidRPr="000922E2">
              <w:rPr>
                <w:sz w:val="24"/>
                <w:szCs w:val="24"/>
                <w:lang w:val="x-none"/>
              </w:rPr>
              <w:t xml:space="preserve"> </w:t>
            </w:r>
            <w:r w:rsidRPr="000922E2">
              <w:rPr>
                <w:b w:val="0"/>
                <w:bCs w:val="0"/>
                <w:sz w:val="24"/>
                <w:szCs w:val="24"/>
                <w:lang w:val="x-none"/>
              </w:rPr>
              <w:t>un ieviešanu TP attiecinā</w:t>
            </w:r>
            <w:r w:rsidR="00F4199D">
              <w:rPr>
                <w:b w:val="0"/>
                <w:bCs w:val="0"/>
                <w:sz w:val="24"/>
                <w:szCs w:val="24"/>
              </w:rPr>
              <w:t>m</w:t>
            </w:r>
            <w:r w:rsidRPr="000922E2">
              <w:rPr>
                <w:b w:val="0"/>
                <w:bCs w:val="0"/>
                <w:sz w:val="24"/>
                <w:szCs w:val="24"/>
                <w:lang w:val="x-none"/>
              </w:rPr>
              <w:t xml:space="preserve">o </w:t>
            </w:r>
            <w:r w:rsidRPr="000922E2">
              <w:rPr>
                <w:b w:val="0"/>
                <w:bCs w:val="0"/>
                <w:sz w:val="24"/>
                <w:szCs w:val="24"/>
                <w:lang w:val="x-none"/>
              </w:rPr>
              <w:lastRenderedPageBreak/>
              <w:t>izdevumu proporcijas identificēšanā</w:t>
            </w:r>
            <w:r w:rsidRPr="000922E2">
              <w:rPr>
                <w:b w:val="0"/>
                <w:bCs w:val="0"/>
                <w:sz w:val="24"/>
                <w:szCs w:val="24"/>
              </w:rPr>
              <w:t xml:space="preserve"> un uzkaitē</w:t>
            </w:r>
            <w:r w:rsidRPr="000922E2">
              <w:rPr>
                <w:b w:val="0"/>
                <w:bCs w:val="0"/>
                <w:sz w:val="24"/>
                <w:szCs w:val="24"/>
                <w:lang w:val="x-none"/>
              </w:rPr>
              <w:t xml:space="preserve">. </w:t>
            </w:r>
            <w:r w:rsidRPr="000922E2">
              <w:rPr>
                <w:b w:val="0"/>
                <w:bCs w:val="0"/>
                <w:sz w:val="24"/>
                <w:szCs w:val="24"/>
              </w:rPr>
              <w:t xml:space="preserve">Tādējādi </w:t>
            </w:r>
            <w:r w:rsidRPr="000922E2">
              <w:rPr>
                <w:b w:val="0"/>
                <w:bCs w:val="0"/>
                <w:sz w:val="24"/>
                <w:szCs w:val="24"/>
                <w:lang w:val="x-none"/>
              </w:rPr>
              <w:t>atalgojuma daļveida attiecināšanas sistēmas</w:t>
            </w:r>
            <w:r w:rsidRPr="000922E2">
              <w:rPr>
                <w:b w:val="0"/>
                <w:bCs w:val="0"/>
                <w:sz w:val="24"/>
                <w:szCs w:val="24"/>
              </w:rPr>
              <w:t xml:space="preserve"> izstrāde un ieviešana </w:t>
            </w:r>
            <w:r w:rsidR="003D2A40">
              <w:rPr>
                <w:b w:val="0"/>
                <w:bCs w:val="0"/>
                <w:sz w:val="24"/>
                <w:szCs w:val="24"/>
              </w:rPr>
              <w:t xml:space="preserve">ir </w:t>
            </w:r>
            <w:r w:rsidRPr="003D2A40">
              <w:rPr>
                <w:b w:val="0"/>
                <w:sz w:val="24"/>
                <w:szCs w:val="24"/>
              </w:rPr>
              <w:t>praktiski iespējama un lietderīga vienīgi attiecībā uz 2014. -2020.gada</w:t>
            </w:r>
            <w:r w:rsidRPr="000922E2">
              <w:rPr>
                <w:sz w:val="24"/>
                <w:szCs w:val="24"/>
              </w:rPr>
              <w:t xml:space="preserve"> </w:t>
            </w:r>
            <w:r w:rsidRPr="000922E2">
              <w:rPr>
                <w:b w:val="0"/>
                <w:bCs w:val="0"/>
                <w:sz w:val="24"/>
                <w:szCs w:val="24"/>
              </w:rPr>
              <w:t xml:space="preserve">plānošanas perioda ES fondu tehniskās palīdzības finansējumu, kuram </w:t>
            </w:r>
            <w:r w:rsidR="004119D0">
              <w:rPr>
                <w:b w:val="0"/>
                <w:bCs w:val="0"/>
                <w:sz w:val="24"/>
                <w:szCs w:val="24"/>
              </w:rPr>
              <w:t xml:space="preserve">savlaicīgi </w:t>
            </w:r>
            <w:r w:rsidRPr="000922E2">
              <w:rPr>
                <w:b w:val="0"/>
                <w:bCs w:val="0"/>
                <w:sz w:val="24"/>
                <w:szCs w:val="24"/>
              </w:rPr>
              <w:t>tiks izstrādāts  atbilstošs  normatīvais regulējums.</w:t>
            </w:r>
            <w:r w:rsidRPr="000922E2">
              <w:t> </w:t>
            </w:r>
            <w:r w:rsidR="003D2A40">
              <w:t xml:space="preserve"> </w:t>
            </w:r>
            <w:r w:rsidRPr="00151BFA">
              <w:rPr>
                <w:b w:val="0"/>
                <w:sz w:val="24"/>
                <w:szCs w:val="24"/>
              </w:rPr>
              <w:t xml:space="preserve">Ņemot vērā iepriekšminēto, </w:t>
            </w:r>
            <w:r w:rsidR="00151BFA" w:rsidRPr="00151BFA">
              <w:rPr>
                <w:b w:val="0"/>
                <w:sz w:val="24"/>
                <w:szCs w:val="24"/>
              </w:rPr>
              <w:t xml:space="preserve">FM ir lūgusi </w:t>
            </w:r>
            <w:r w:rsidRPr="00151BFA">
              <w:rPr>
                <w:b w:val="0"/>
                <w:sz w:val="24"/>
                <w:szCs w:val="24"/>
              </w:rPr>
              <w:t xml:space="preserve"> MK  pagarināt termiņu informēšanai par atalgojuma daļas attiecināšanas un elektroniskās darba laika uzskaites sistēmas projekta  rezultātiem informatīvajam  ziņojumam pievienotajā MK sēdes </w:t>
            </w:r>
            <w:proofErr w:type="spellStart"/>
            <w:r w:rsidRPr="00151BFA">
              <w:rPr>
                <w:b w:val="0"/>
                <w:sz w:val="24"/>
                <w:szCs w:val="24"/>
              </w:rPr>
              <w:t>protokollēmumā</w:t>
            </w:r>
            <w:proofErr w:type="spellEnd"/>
            <w:r w:rsidR="00CB2942">
              <w:rPr>
                <w:b w:val="0"/>
                <w:sz w:val="24"/>
                <w:szCs w:val="24"/>
              </w:rPr>
              <w:t xml:space="preserve"> iekļaujot</w:t>
            </w:r>
            <w:r w:rsidR="00151BFA">
              <w:rPr>
                <w:b w:val="0"/>
                <w:sz w:val="24"/>
                <w:szCs w:val="24"/>
              </w:rPr>
              <w:t xml:space="preserve"> uzdevumu,  </w:t>
            </w:r>
            <w:r w:rsidRPr="00151BFA">
              <w:rPr>
                <w:b w:val="0"/>
                <w:iCs/>
                <w:sz w:val="24"/>
                <w:szCs w:val="24"/>
              </w:rPr>
              <w:t xml:space="preserve">ka </w:t>
            </w:r>
            <w:r w:rsidR="00CB2942">
              <w:rPr>
                <w:b w:val="0"/>
                <w:iCs/>
                <w:sz w:val="24"/>
                <w:szCs w:val="24"/>
              </w:rPr>
              <w:t xml:space="preserve">FM </w:t>
            </w:r>
            <w:r w:rsidRPr="00151BFA">
              <w:rPr>
                <w:b w:val="0"/>
                <w:iCs/>
                <w:sz w:val="24"/>
                <w:szCs w:val="24"/>
              </w:rPr>
              <w:t xml:space="preserve"> informāciju atalgojuma daļas attiecināšanu un elektroniskās darba laika uzskaites sistēmas projekta  rezultātiem un pieejamo tehniskās palīdzības finansējumu sagatavos un noteiktā kārtībā </w:t>
            </w:r>
            <w:r w:rsidR="003D2A40">
              <w:rPr>
                <w:b w:val="0"/>
                <w:iCs/>
                <w:sz w:val="24"/>
                <w:szCs w:val="24"/>
              </w:rPr>
              <w:t xml:space="preserve">MK </w:t>
            </w:r>
            <w:r w:rsidRPr="00151BFA">
              <w:rPr>
                <w:b w:val="0"/>
                <w:iCs/>
                <w:sz w:val="24"/>
                <w:szCs w:val="24"/>
              </w:rPr>
              <w:t>sniegs vienlaik</w:t>
            </w:r>
            <w:r w:rsidR="003D2A40">
              <w:rPr>
                <w:b w:val="0"/>
                <w:iCs/>
                <w:sz w:val="24"/>
                <w:szCs w:val="24"/>
              </w:rPr>
              <w:t xml:space="preserve">us ar informatīvo ziņojumu par ES </w:t>
            </w:r>
            <w:r w:rsidRPr="00151BFA">
              <w:rPr>
                <w:b w:val="0"/>
                <w:iCs/>
                <w:sz w:val="24"/>
                <w:szCs w:val="24"/>
              </w:rPr>
              <w:t xml:space="preserve"> fondu apguvi 2013.gada trešajā ceturksnī.</w:t>
            </w:r>
            <w:r w:rsidRPr="00151BFA">
              <w:rPr>
                <w:b w:val="0"/>
                <w:sz w:val="24"/>
                <w:szCs w:val="24"/>
              </w:rPr>
              <w:t>      </w:t>
            </w:r>
          </w:p>
        </w:tc>
      </w:tr>
      <w:tr w:rsidR="006C4F62" w:rsidRPr="00C701BF" w:rsidTr="00214E1D">
        <w:trPr>
          <w:tblCellSpacing w:w="0" w:type="dxa"/>
        </w:trPr>
        <w:tc>
          <w:tcPr>
            <w:tcW w:w="9386" w:type="dxa"/>
            <w:gridSpan w:val="4"/>
            <w:vAlign w:val="center"/>
          </w:tcPr>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
              <w:gridCol w:w="2541"/>
              <w:gridCol w:w="6384"/>
            </w:tblGrid>
            <w:tr w:rsidR="00C669E8" w:rsidRPr="00C701BF" w:rsidTr="00861B1E">
              <w:tc>
                <w:tcPr>
                  <w:tcW w:w="9356" w:type="dxa"/>
                  <w:gridSpan w:val="3"/>
                </w:tcPr>
                <w:p w:rsidR="00C21639" w:rsidRPr="00C701BF" w:rsidRDefault="00C669E8" w:rsidP="005A08AA">
                  <w:pPr>
                    <w:framePr w:hSpace="180" w:wrap="around" w:vAnchor="text" w:hAnchor="margin" w:xAlign="center" w:y="149"/>
                    <w:jc w:val="center"/>
                    <w:rPr>
                      <w:b/>
                    </w:rPr>
                  </w:pPr>
                  <w:r w:rsidRPr="00C701BF">
                    <w:rPr>
                      <w:b/>
                    </w:rPr>
                    <w:lastRenderedPageBreak/>
                    <w:t>II. Tiesību akta projekta ietekme uz sabiedrību</w:t>
                  </w:r>
                </w:p>
              </w:tc>
            </w:tr>
            <w:tr w:rsidR="00C669E8" w:rsidRPr="00C701BF" w:rsidTr="00861B1E">
              <w:tc>
                <w:tcPr>
                  <w:tcW w:w="431" w:type="dxa"/>
                </w:tcPr>
                <w:p w:rsidR="00C669E8" w:rsidRPr="00C701BF" w:rsidRDefault="00C669E8" w:rsidP="00B0730C">
                  <w:pPr>
                    <w:framePr w:hSpace="180" w:wrap="around" w:vAnchor="text" w:hAnchor="margin" w:xAlign="center" w:y="149"/>
                  </w:pPr>
                  <w:r w:rsidRPr="00C701BF">
                    <w:t>1.</w:t>
                  </w:r>
                </w:p>
              </w:tc>
              <w:tc>
                <w:tcPr>
                  <w:tcW w:w="2541" w:type="dxa"/>
                </w:tcPr>
                <w:p w:rsidR="00C669E8" w:rsidRPr="00C701BF" w:rsidRDefault="00C669E8" w:rsidP="00B0730C">
                  <w:pPr>
                    <w:framePr w:hSpace="180" w:wrap="around" w:vAnchor="text" w:hAnchor="margin" w:xAlign="center" w:y="149"/>
                  </w:pPr>
                  <w:r w:rsidRPr="00C701BF">
                    <w:t xml:space="preserve">Sabiedrības </w:t>
                  </w:r>
                  <w:proofErr w:type="spellStart"/>
                  <w:r w:rsidRPr="00C701BF">
                    <w:t>mērķgrupa</w:t>
                  </w:r>
                  <w:proofErr w:type="spellEnd"/>
                </w:p>
              </w:tc>
              <w:tc>
                <w:tcPr>
                  <w:tcW w:w="6384" w:type="dxa"/>
                </w:tcPr>
                <w:p w:rsidR="00C669E8" w:rsidRPr="00C701BF" w:rsidRDefault="00C669E8" w:rsidP="00B57AFA">
                  <w:pPr>
                    <w:framePr w:hSpace="180" w:wrap="around" w:vAnchor="text" w:hAnchor="margin" w:xAlign="center" w:y="149"/>
                    <w:autoSpaceDE w:val="0"/>
                    <w:autoSpaceDN w:val="0"/>
                    <w:adjustRightInd w:val="0"/>
                    <w:jc w:val="both"/>
                  </w:pPr>
                  <w:r w:rsidRPr="00C701BF">
                    <w:t>MK noteikumu projekts netieši attiecas uz Eiropas Savienības fonda finansējuma saņēmējiem</w:t>
                  </w:r>
                  <w:r w:rsidR="00B57AFA" w:rsidRPr="00C701BF">
                    <w:t>.</w:t>
                  </w:r>
                </w:p>
              </w:tc>
            </w:tr>
            <w:tr w:rsidR="00C669E8" w:rsidRPr="00C701BF" w:rsidTr="00861B1E">
              <w:tc>
                <w:tcPr>
                  <w:tcW w:w="431" w:type="dxa"/>
                </w:tcPr>
                <w:p w:rsidR="00C669E8" w:rsidRPr="00C701BF" w:rsidRDefault="00C669E8" w:rsidP="00B0730C">
                  <w:pPr>
                    <w:framePr w:hSpace="180" w:wrap="around" w:vAnchor="text" w:hAnchor="margin" w:xAlign="center" w:y="149"/>
                  </w:pPr>
                  <w:r w:rsidRPr="00C701BF">
                    <w:t xml:space="preserve">2. </w:t>
                  </w:r>
                </w:p>
              </w:tc>
              <w:tc>
                <w:tcPr>
                  <w:tcW w:w="2541" w:type="dxa"/>
                </w:tcPr>
                <w:p w:rsidR="00C669E8" w:rsidRPr="00C701BF" w:rsidRDefault="00C669E8" w:rsidP="00B0730C">
                  <w:pPr>
                    <w:framePr w:hSpace="180" w:wrap="around" w:vAnchor="text" w:hAnchor="margin" w:xAlign="center" w:y="149"/>
                  </w:pPr>
                  <w:r w:rsidRPr="00C701BF">
                    <w:t xml:space="preserve">Citas sabiedrības grupas (bez </w:t>
                  </w:r>
                  <w:proofErr w:type="spellStart"/>
                  <w:r w:rsidRPr="00C701BF">
                    <w:t>mērķgrupas</w:t>
                  </w:r>
                  <w:proofErr w:type="spellEnd"/>
                  <w:r w:rsidRPr="00C701BF">
                    <w:t>), kuras tiesiskais regulējuma arī ietekmē vai varētu ietekmēt</w:t>
                  </w:r>
                </w:p>
              </w:tc>
              <w:tc>
                <w:tcPr>
                  <w:tcW w:w="6384" w:type="dxa"/>
                </w:tcPr>
                <w:p w:rsidR="00C669E8" w:rsidRPr="00C701BF" w:rsidRDefault="008D1831" w:rsidP="00B0730C">
                  <w:pPr>
                    <w:framePr w:hSpace="180" w:wrap="around" w:vAnchor="text" w:hAnchor="margin" w:xAlign="center" w:y="149"/>
                    <w:jc w:val="both"/>
                  </w:pPr>
                  <w:r w:rsidRPr="00C701BF">
                    <w:t>Projekts šo jomu neskar</w:t>
                  </w:r>
                  <w:r w:rsidR="004F0A53" w:rsidRPr="00C701BF">
                    <w:t>.</w:t>
                  </w:r>
                </w:p>
                <w:p w:rsidR="00C669E8" w:rsidRPr="00C701BF" w:rsidRDefault="00C669E8" w:rsidP="00B0730C">
                  <w:pPr>
                    <w:framePr w:hSpace="180" w:wrap="around" w:vAnchor="text" w:hAnchor="margin" w:xAlign="center" w:y="149"/>
                    <w:jc w:val="both"/>
                  </w:pPr>
                </w:p>
              </w:tc>
            </w:tr>
            <w:tr w:rsidR="00C669E8" w:rsidRPr="00C701BF" w:rsidTr="00861B1E">
              <w:tc>
                <w:tcPr>
                  <w:tcW w:w="431" w:type="dxa"/>
                </w:tcPr>
                <w:p w:rsidR="00C669E8" w:rsidRPr="00C701BF" w:rsidRDefault="00C669E8" w:rsidP="00B0730C">
                  <w:pPr>
                    <w:framePr w:hSpace="180" w:wrap="around" w:vAnchor="text" w:hAnchor="margin" w:xAlign="center" w:y="149"/>
                  </w:pPr>
                  <w:r w:rsidRPr="00C701BF">
                    <w:t xml:space="preserve">3. </w:t>
                  </w:r>
                </w:p>
              </w:tc>
              <w:tc>
                <w:tcPr>
                  <w:tcW w:w="2541" w:type="dxa"/>
                </w:tcPr>
                <w:p w:rsidR="00C669E8" w:rsidRPr="00C701BF" w:rsidRDefault="00C669E8" w:rsidP="00B0730C">
                  <w:pPr>
                    <w:framePr w:hSpace="180" w:wrap="around" w:vAnchor="text" w:hAnchor="margin" w:xAlign="center" w:y="149"/>
                  </w:pPr>
                  <w:r w:rsidRPr="00C701BF">
                    <w:t>Tiesiskā regulējuma finansiālā ietekme</w:t>
                  </w:r>
                </w:p>
              </w:tc>
              <w:tc>
                <w:tcPr>
                  <w:tcW w:w="6384" w:type="dxa"/>
                </w:tcPr>
                <w:p w:rsidR="00C669E8" w:rsidRPr="00C701BF" w:rsidRDefault="00B57AFA" w:rsidP="0015391D">
                  <w:pPr>
                    <w:framePr w:hSpace="180" w:wrap="around" w:vAnchor="text" w:hAnchor="margin" w:xAlign="center" w:y="149"/>
                    <w:jc w:val="both"/>
                  </w:pPr>
                  <w:r w:rsidRPr="00C701BF">
                    <w:t>Projekts šo jomu neskar.</w:t>
                  </w:r>
                </w:p>
              </w:tc>
            </w:tr>
            <w:tr w:rsidR="00C669E8" w:rsidRPr="00C701BF" w:rsidTr="00861B1E">
              <w:tc>
                <w:tcPr>
                  <w:tcW w:w="431" w:type="dxa"/>
                </w:tcPr>
                <w:p w:rsidR="00C669E8" w:rsidRPr="00C701BF" w:rsidRDefault="00C669E8" w:rsidP="00B0730C">
                  <w:pPr>
                    <w:framePr w:hSpace="180" w:wrap="around" w:vAnchor="text" w:hAnchor="margin" w:xAlign="center" w:y="149"/>
                  </w:pPr>
                  <w:r w:rsidRPr="00C701BF">
                    <w:t>4.</w:t>
                  </w:r>
                </w:p>
              </w:tc>
              <w:tc>
                <w:tcPr>
                  <w:tcW w:w="2541" w:type="dxa"/>
                </w:tcPr>
                <w:p w:rsidR="00C669E8" w:rsidRPr="00C701BF" w:rsidRDefault="00C669E8" w:rsidP="00B0730C">
                  <w:pPr>
                    <w:framePr w:hSpace="180" w:wrap="around" w:vAnchor="text" w:hAnchor="margin" w:xAlign="center" w:y="149"/>
                  </w:pPr>
                  <w:r w:rsidRPr="00C701BF">
                    <w:t>Tiesiskā regulējuma nefinansiālā ietekme</w:t>
                  </w:r>
                </w:p>
              </w:tc>
              <w:tc>
                <w:tcPr>
                  <w:tcW w:w="6384" w:type="dxa"/>
                </w:tcPr>
                <w:p w:rsidR="00C669E8" w:rsidRPr="00C701BF" w:rsidRDefault="00C669E8" w:rsidP="00B0730C">
                  <w:pPr>
                    <w:framePr w:hSpace="180" w:wrap="around" w:vAnchor="text" w:hAnchor="margin" w:xAlign="center" w:y="149"/>
                    <w:autoSpaceDE w:val="0"/>
                    <w:autoSpaceDN w:val="0"/>
                    <w:adjustRightInd w:val="0"/>
                    <w:jc w:val="both"/>
                  </w:pPr>
                  <w:r w:rsidRPr="00C701BF">
                    <w:t xml:space="preserve"> </w:t>
                  </w:r>
                  <w:r w:rsidR="00183A9E" w:rsidRPr="00C701BF">
                    <w:rPr>
                      <w:iCs/>
                    </w:rPr>
                    <w:t>Projekts šo jomu neskar</w:t>
                  </w:r>
                  <w:r w:rsidR="004F0A53" w:rsidRPr="00C701BF">
                    <w:rPr>
                      <w:iCs/>
                    </w:rPr>
                    <w:t>.</w:t>
                  </w:r>
                </w:p>
              </w:tc>
            </w:tr>
            <w:tr w:rsidR="00C669E8" w:rsidRPr="00C701BF" w:rsidTr="00861B1E">
              <w:tc>
                <w:tcPr>
                  <w:tcW w:w="431" w:type="dxa"/>
                </w:tcPr>
                <w:p w:rsidR="00C669E8" w:rsidRPr="00C701BF" w:rsidRDefault="00C669E8" w:rsidP="00B0730C">
                  <w:pPr>
                    <w:framePr w:hSpace="180" w:wrap="around" w:vAnchor="text" w:hAnchor="margin" w:xAlign="center" w:y="149"/>
                  </w:pPr>
                  <w:r w:rsidRPr="00C701BF">
                    <w:t>5.</w:t>
                  </w:r>
                </w:p>
              </w:tc>
              <w:tc>
                <w:tcPr>
                  <w:tcW w:w="2541" w:type="dxa"/>
                </w:tcPr>
                <w:p w:rsidR="00C669E8" w:rsidRPr="00C701BF" w:rsidRDefault="00C669E8" w:rsidP="00B0730C">
                  <w:pPr>
                    <w:framePr w:hSpace="180" w:wrap="around" w:vAnchor="text" w:hAnchor="margin" w:xAlign="center" w:y="149"/>
                  </w:pPr>
                  <w:r w:rsidRPr="00C701BF">
                    <w:t>Administratīvās procedūras raksturojums</w:t>
                  </w:r>
                </w:p>
              </w:tc>
              <w:tc>
                <w:tcPr>
                  <w:tcW w:w="6384" w:type="dxa"/>
                </w:tcPr>
                <w:p w:rsidR="00C669E8" w:rsidRPr="00C701BF" w:rsidRDefault="00104E35" w:rsidP="0015391D">
                  <w:pPr>
                    <w:framePr w:hSpace="180" w:wrap="around" w:vAnchor="text" w:hAnchor="margin" w:xAlign="center" w:y="149"/>
                    <w:tabs>
                      <w:tab w:val="left" w:pos="0"/>
                    </w:tabs>
                    <w:jc w:val="both"/>
                  </w:pPr>
                  <w:r w:rsidRPr="00C701BF">
                    <w:t>Projekts šo jomu neskar.</w:t>
                  </w:r>
                </w:p>
              </w:tc>
            </w:tr>
            <w:tr w:rsidR="00C669E8" w:rsidRPr="00C701BF" w:rsidTr="00861B1E">
              <w:tc>
                <w:tcPr>
                  <w:tcW w:w="431" w:type="dxa"/>
                </w:tcPr>
                <w:p w:rsidR="00C669E8" w:rsidRPr="00C701BF" w:rsidRDefault="00C669E8" w:rsidP="00B0730C">
                  <w:pPr>
                    <w:framePr w:hSpace="180" w:wrap="around" w:vAnchor="text" w:hAnchor="margin" w:xAlign="center" w:y="149"/>
                  </w:pPr>
                  <w:r w:rsidRPr="00C701BF">
                    <w:t>6.</w:t>
                  </w:r>
                </w:p>
              </w:tc>
              <w:tc>
                <w:tcPr>
                  <w:tcW w:w="2541" w:type="dxa"/>
                </w:tcPr>
                <w:p w:rsidR="00C669E8" w:rsidRPr="00C701BF" w:rsidRDefault="00C669E8" w:rsidP="00B0730C">
                  <w:pPr>
                    <w:framePr w:hSpace="180" w:wrap="around" w:vAnchor="text" w:hAnchor="margin" w:xAlign="center" w:y="149"/>
                  </w:pPr>
                  <w:r w:rsidRPr="00C701BF">
                    <w:t>Administratīvo izmaksu monetārs novērtējums</w:t>
                  </w:r>
                </w:p>
              </w:tc>
              <w:tc>
                <w:tcPr>
                  <w:tcW w:w="6384" w:type="dxa"/>
                </w:tcPr>
                <w:p w:rsidR="00C669E8" w:rsidRPr="00C701BF" w:rsidRDefault="00C669E8" w:rsidP="00B0730C">
                  <w:pPr>
                    <w:framePr w:hSpace="180" w:wrap="around" w:vAnchor="text" w:hAnchor="margin" w:xAlign="center" w:y="149"/>
                    <w:jc w:val="both"/>
                  </w:pPr>
                  <w:r w:rsidRPr="00C701BF">
                    <w:rPr>
                      <w:iCs/>
                    </w:rPr>
                    <w:t>Projekts šo jomu neskar</w:t>
                  </w:r>
                  <w:r w:rsidR="004F0A53" w:rsidRPr="00C701BF">
                    <w:rPr>
                      <w:iCs/>
                    </w:rPr>
                    <w:t>.</w:t>
                  </w:r>
                </w:p>
              </w:tc>
            </w:tr>
            <w:tr w:rsidR="00C669E8" w:rsidRPr="00C701BF" w:rsidTr="00861B1E">
              <w:tc>
                <w:tcPr>
                  <w:tcW w:w="431" w:type="dxa"/>
                </w:tcPr>
                <w:p w:rsidR="00C669E8" w:rsidRPr="00C701BF" w:rsidRDefault="00C669E8" w:rsidP="00B0730C">
                  <w:pPr>
                    <w:framePr w:hSpace="180" w:wrap="around" w:vAnchor="text" w:hAnchor="margin" w:xAlign="center" w:y="149"/>
                  </w:pPr>
                  <w:r w:rsidRPr="00C701BF">
                    <w:t xml:space="preserve">7. </w:t>
                  </w:r>
                </w:p>
              </w:tc>
              <w:tc>
                <w:tcPr>
                  <w:tcW w:w="2541" w:type="dxa"/>
                </w:tcPr>
                <w:p w:rsidR="00C669E8" w:rsidRPr="00C701BF" w:rsidRDefault="00C669E8" w:rsidP="00B0730C">
                  <w:pPr>
                    <w:framePr w:hSpace="180" w:wrap="around" w:vAnchor="text" w:hAnchor="margin" w:xAlign="center" w:y="149"/>
                  </w:pPr>
                  <w:r w:rsidRPr="00C701BF">
                    <w:t>Cita informācija</w:t>
                  </w:r>
                </w:p>
              </w:tc>
              <w:tc>
                <w:tcPr>
                  <w:tcW w:w="6384" w:type="dxa"/>
                </w:tcPr>
                <w:p w:rsidR="00C669E8" w:rsidRPr="00C701BF" w:rsidRDefault="00C669E8" w:rsidP="00B0730C">
                  <w:pPr>
                    <w:pStyle w:val="naiskr"/>
                    <w:framePr w:hSpace="180" w:wrap="around" w:vAnchor="text" w:hAnchor="margin" w:xAlign="center" w:y="149"/>
                    <w:spacing w:before="0" w:after="0"/>
                    <w:jc w:val="both"/>
                  </w:pPr>
                  <w:r w:rsidRPr="00C701BF">
                    <w:t>Nav</w:t>
                  </w:r>
                </w:p>
              </w:tc>
            </w:tr>
          </w:tbl>
          <w:p w:rsidR="006C4F62" w:rsidRPr="00C701BF" w:rsidRDefault="006C4F62" w:rsidP="006C4F62">
            <w:pPr>
              <w:pStyle w:val="naisnod"/>
              <w:ind w:left="360"/>
              <w:rPr>
                <w:sz w:val="22"/>
                <w:szCs w:val="22"/>
              </w:rPr>
            </w:pPr>
            <w:r w:rsidRPr="00C701BF">
              <w:t>VII. Tiesību akta projekta izpildes nodrošināšana un tās ietekme uz institūcijām</w:t>
            </w:r>
          </w:p>
        </w:tc>
      </w:tr>
      <w:tr w:rsidR="006C4F62" w:rsidRPr="00C701BF" w:rsidTr="00214E1D">
        <w:trPr>
          <w:tblCellSpacing w:w="0" w:type="dxa"/>
        </w:trPr>
        <w:tc>
          <w:tcPr>
            <w:tcW w:w="471" w:type="dxa"/>
            <w:vAlign w:val="center"/>
          </w:tcPr>
          <w:p w:rsidR="006C4F62" w:rsidRPr="00C701BF" w:rsidRDefault="006C4F62" w:rsidP="00AA75EA">
            <w:pPr>
              <w:pStyle w:val="naiskr"/>
              <w:jc w:val="center"/>
              <w:rPr>
                <w:sz w:val="22"/>
                <w:szCs w:val="22"/>
              </w:rPr>
            </w:pPr>
            <w:r w:rsidRPr="00C701BF">
              <w:rPr>
                <w:sz w:val="22"/>
                <w:szCs w:val="22"/>
              </w:rPr>
              <w:t>1.</w:t>
            </w:r>
          </w:p>
        </w:tc>
        <w:tc>
          <w:tcPr>
            <w:tcW w:w="4801" w:type="dxa"/>
            <w:gridSpan w:val="2"/>
            <w:vAlign w:val="center"/>
          </w:tcPr>
          <w:p w:rsidR="006C4F62" w:rsidRPr="00C701BF" w:rsidRDefault="00EC02C1" w:rsidP="005A0D6C">
            <w:pPr>
              <w:pStyle w:val="naiskr"/>
              <w:ind w:left="170"/>
              <w:jc w:val="both"/>
            </w:pPr>
            <w:r w:rsidRPr="00C701BF">
              <w:t>Projekta izpildē iesaistītās institūcijas</w:t>
            </w:r>
          </w:p>
        </w:tc>
        <w:tc>
          <w:tcPr>
            <w:tcW w:w="4114" w:type="dxa"/>
            <w:vAlign w:val="center"/>
          </w:tcPr>
          <w:p w:rsidR="00B25E6C" w:rsidRPr="00C701BF" w:rsidRDefault="00E341C3" w:rsidP="00F0679C">
            <w:pPr>
              <w:jc w:val="both"/>
              <w:rPr>
                <w:lang w:eastAsia="en-US"/>
              </w:rPr>
            </w:pPr>
            <w:r w:rsidRPr="00C701BF">
              <w:t>Finanšu ministrija, Centrālā finanšu un līgumu aģentūra</w:t>
            </w:r>
            <w:r w:rsidR="00D9135E" w:rsidRPr="00C701BF">
              <w:t>,</w:t>
            </w:r>
            <w:r w:rsidR="00DC5F9C" w:rsidRPr="00C701BF">
              <w:rPr>
                <w:lang w:eastAsia="en-US"/>
              </w:rPr>
              <w:t xml:space="preserve"> Kultūras ministrija, Satiksmes ministrija, Izglītības un zinātnes ministrija, Veselības ministrija, Labklājības ministrija, Ekonomikas ministrija</w:t>
            </w:r>
            <w:r w:rsidR="00A238C1" w:rsidRPr="00C701BF">
              <w:rPr>
                <w:lang w:eastAsia="en-US"/>
              </w:rPr>
              <w:t xml:space="preserve">, </w:t>
            </w:r>
            <w:r w:rsidR="00DC5F9C" w:rsidRPr="00C701BF">
              <w:rPr>
                <w:lang w:eastAsia="en-US"/>
              </w:rPr>
              <w:t>Vides aizsardzības un r</w:t>
            </w:r>
            <w:r w:rsidR="00A238C1" w:rsidRPr="00C701BF">
              <w:rPr>
                <w:lang w:eastAsia="en-US"/>
              </w:rPr>
              <w:t xml:space="preserve">eģionālās attīstības ministrija, Valsts kanceleja, Valsts kase, </w:t>
            </w:r>
            <w:r w:rsidR="00DC5F9C" w:rsidRPr="00C701BF">
              <w:rPr>
                <w:lang w:eastAsia="en-US"/>
              </w:rPr>
              <w:t>Valsts iz</w:t>
            </w:r>
            <w:r w:rsidR="00A238C1" w:rsidRPr="00C701BF">
              <w:rPr>
                <w:lang w:eastAsia="en-US"/>
              </w:rPr>
              <w:t xml:space="preserve">glītības </w:t>
            </w:r>
            <w:r w:rsidR="00A238C1" w:rsidRPr="00C701BF">
              <w:rPr>
                <w:lang w:eastAsia="en-US"/>
              </w:rPr>
              <w:lastRenderedPageBreak/>
              <w:t xml:space="preserve">attīstības aģentūra, </w:t>
            </w:r>
            <w:r w:rsidR="00DC5F9C" w:rsidRPr="00C701BF">
              <w:rPr>
                <w:lang w:eastAsia="en-US"/>
              </w:rPr>
              <w:t>Valsts</w:t>
            </w:r>
            <w:r w:rsidR="00A238C1" w:rsidRPr="00C701BF">
              <w:rPr>
                <w:lang w:eastAsia="en-US"/>
              </w:rPr>
              <w:t xml:space="preserve"> reģionālās attīstības aģentūra, </w:t>
            </w:r>
            <w:r w:rsidR="00DC5F9C" w:rsidRPr="00C701BF">
              <w:rPr>
                <w:lang w:eastAsia="en-US"/>
              </w:rPr>
              <w:t xml:space="preserve">Latvijas </w:t>
            </w:r>
            <w:r w:rsidR="00A238C1" w:rsidRPr="00C701BF">
              <w:rPr>
                <w:lang w:eastAsia="en-US"/>
              </w:rPr>
              <w:t xml:space="preserve">investīciju </w:t>
            </w:r>
            <w:r w:rsidR="005F5014" w:rsidRPr="00C701BF">
              <w:rPr>
                <w:lang w:eastAsia="en-US"/>
              </w:rPr>
              <w:t xml:space="preserve">un </w:t>
            </w:r>
            <w:r w:rsidR="00A238C1" w:rsidRPr="00C701BF">
              <w:rPr>
                <w:lang w:eastAsia="en-US"/>
              </w:rPr>
              <w:t>attīstības aģentūra, Nodarbinātības valsts aģentūra, Sabiedrības integrācijas fonds, Iepirkumu uzraudzības birojs</w:t>
            </w:r>
            <w:r w:rsidR="00F0679C" w:rsidRPr="00B22563">
              <w:rPr>
                <w:b/>
                <w:lang w:eastAsia="en-US"/>
              </w:rPr>
              <w:t xml:space="preserve">, Kurzemes plānošanas reģions, </w:t>
            </w:r>
            <w:r w:rsidR="00F0679C" w:rsidRPr="00B22563">
              <w:rPr>
                <w:b/>
              </w:rPr>
              <w:t xml:space="preserve"> </w:t>
            </w:r>
            <w:r w:rsidR="00F0679C" w:rsidRPr="00B22563">
              <w:rPr>
                <w:b/>
                <w:lang w:eastAsia="en-US"/>
              </w:rPr>
              <w:t>Latgales plānošanas reģions,</w:t>
            </w:r>
            <w:r w:rsidR="00F0679C" w:rsidRPr="00B22563">
              <w:rPr>
                <w:b/>
              </w:rPr>
              <w:t xml:space="preserve"> </w:t>
            </w:r>
            <w:r w:rsidR="00F0679C" w:rsidRPr="00B22563">
              <w:rPr>
                <w:b/>
                <w:lang w:eastAsia="en-US"/>
              </w:rPr>
              <w:t>Rīgas plānošanas reģions,</w:t>
            </w:r>
            <w:r w:rsidR="00F0679C" w:rsidRPr="00B22563">
              <w:rPr>
                <w:b/>
              </w:rPr>
              <w:t xml:space="preserve"> </w:t>
            </w:r>
            <w:r w:rsidR="00F0679C" w:rsidRPr="00B22563">
              <w:rPr>
                <w:b/>
                <w:lang w:eastAsia="en-US"/>
              </w:rPr>
              <w:t>Vidzemes plānošanas reģions,</w:t>
            </w:r>
            <w:r w:rsidR="00F0679C" w:rsidRPr="00B22563">
              <w:rPr>
                <w:b/>
              </w:rPr>
              <w:t xml:space="preserve"> </w:t>
            </w:r>
            <w:r w:rsidR="00F0679C" w:rsidRPr="00B22563">
              <w:rPr>
                <w:b/>
                <w:lang w:eastAsia="en-US"/>
              </w:rPr>
              <w:t>Zemgales plānošanas reģions.</w:t>
            </w:r>
          </w:p>
        </w:tc>
      </w:tr>
      <w:tr w:rsidR="006C4F62" w:rsidRPr="00C701BF" w:rsidTr="00214E1D">
        <w:trPr>
          <w:tblCellSpacing w:w="0" w:type="dxa"/>
        </w:trPr>
        <w:tc>
          <w:tcPr>
            <w:tcW w:w="471" w:type="dxa"/>
            <w:vAlign w:val="center"/>
          </w:tcPr>
          <w:p w:rsidR="006C4F62" w:rsidRPr="00C701BF" w:rsidRDefault="006C4F62" w:rsidP="00AA75EA">
            <w:pPr>
              <w:pStyle w:val="naiskr"/>
              <w:jc w:val="center"/>
              <w:rPr>
                <w:sz w:val="22"/>
                <w:szCs w:val="22"/>
              </w:rPr>
            </w:pPr>
            <w:r w:rsidRPr="00C701BF">
              <w:rPr>
                <w:sz w:val="22"/>
                <w:szCs w:val="22"/>
              </w:rPr>
              <w:lastRenderedPageBreak/>
              <w:t>2.</w:t>
            </w:r>
          </w:p>
        </w:tc>
        <w:tc>
          <w:tcPr>
            <w:tcW w:w="4801" w:type="dxa"/>
            <w:gridSpan w:val="2"/>
            <w:vAlign w:val="center"/>
          </w:tcPr>
          <w:p w:rsidR="006C4F62" w:rsidRPr="00C701BF" w:rsidRDefault="00EC02C1" w:rsidP="005A0D6C">
            <w:pPr>
              <w:pStyle w:val="naiskr"/>
              <w:ind w:left="170"/>
              <w:jc w:val="both"/>
            </w:pPr>
            <w:r w:rsidRPr="00C701BF">
              <w:t>Projekta izpildes ietekme uz pārvaldes funkcijām</w:t>
            </w:r>
          </w:p>
        </w:tc>
        <w:tc>
          <w:tcPr>
            <w:tcW w:w="4114" w:type="dxa"/>
            <w:vAlign w:val="center"/>
          </w:tcPr>
          <w:p w:rsidR="006C4F62" w:rsidRPr="00C701BF" w:rsidRDefault="005A0D6C" w:rsidP="005A0D6C">
            <w:pPr>
              <w:pStyle w:val="naiskr"/>
              <w:ind w:left="170" w:right="170"/>
              <w:jc w:val="both"/>
              <w:rPr>
                <w:sz w:val="22"/>
                <w:szCs w:val="22"/>
              </w:rPr>
            </w:pPr>
            <w:r w:rsidRPr="00C701BF">
              <w:t>Projekta izpilde neietekmē institūciju funkcijas un uzdevumus.</w:t>
            </w:r>
          </w:p>
        </w:tc>
      </w:tr>
      <w:tr w:rsidR="006C4F62" w:rsidRPr="00C701BF" w:rsidTr="00214E1D">
        <w:trPr>
          <w:tblCellSpacing w:w="0" w:type="dxa"/>
        </w:trPr>
        <w:tc>
          <w:tcPr>
            <w:tcW w:w="471" w:type="dxa"/>
            <w:vAlign w:val="center"/>
          </w:tcPr>
          <w:p w:rsidR="006C4F62" w:rsidRPr="00C701BF" w:rsidRDefault="006C4F62" w:rsidP="00AA75EA">
            <w:pPr>
              <w:pStyle w:val="naiskr"/>
              <w:jc w:val="center"/>
              <w:rPr>
                <w:sz w:val="22"/>
                <w:szCs w:val="22"/>
              </w:rPr>
            </w:pPr>
            <w:r w:rsidRPr="00C701BF">
              <w:rPr>
                <w:sz w:val="22"/>
                <w:szCs w:val="22"/>
              </w:rPr>
              <w:t>3.</w:t>
            </w:r>
          </w:p>
        </w:tc>
        <w:tc>
          <w:tcPr>
            <w:tcW w:w="4801" w:type="dxa"/>
            <w:gridSpan w:val="2"/>
            <w:vAlign w:val="center"/>
          </w:tcPr>
          <w:p w:rsidR="00EC02C1" w:rsidRPr="00C701BF" w:rsidRDefault="00EC02C1" w:rsidP="005A0D6C">
            <w:pPr>
              <w:pStyle w:val="naiskr"/>
              <w:ind w:left="170"/>
              <w:jc w:val="both"/>
            </w:pPr>
            <w:r w:rsidRPr="00C701BF">
              <w:t>Projekta izpildes ietekme uz pārvaldes institucionālo struktūru.</w:t>
            </w:r>
          </w:p>
          <w:p w:rsidR="006C4F62" w:rsidRPr="00C701BF" w:rsidRDefault="00EC02C1" w:rsidP="005A0D6C">
            <w:pPr>
              <w:pStyle w:val="naiskr"/>
              <w:ind w:left="170"/>
              <w:jc w:val="both"/>
            </w:pPr>
            <w:r w:rsidRPr="00C701BF">
              <w:t>Jaunu institūciju izveide</w:t>
            </w:r>
          </w:p>
        </w:tc>
        <w:tc>
          <w:tcPr>
            <w:tcW w:w="4114" w:type="dxa"/>
            <w:vAlign w:val="center"/>
          </w:tcPr>
          <w:p w:rsidR="006C4F62" w:rsidRPr="00C701BF" w:rsidRDefault="005A0D6C" w:rsidP="005A0D6C">
            <w:pPr>
              <w:pStyle w:val="naiskr"/>
              <w:ind w:left="170" w:right="170"/>
              <w:jc w:val="both"/>
              <w:rPr>
                <w:sz w:val="22"/>
                <w:szCs w:val="22"/>
              </w:rPr>
            </w:pPr>
            <w:r w:rsidRPr="00C701BF">
              <w:t>Saistībā ar projekta izpildi nav nepieciešams veidot jaunas institūcijas.</w:t>
            </w:r>
          </w:p>
        </w:tc>
      </w:tr>
      <w:tr w:rsidR="006C4F62" w:rsidRPr="00C701BF" w:rsidTr="00214E1D">
        <w:trPr>
          <w:tblCellSpacing w:w="0" w:type="dxa"/>
        </w:trPr>
        <w:tc>
          <w:tcPr>
            <w:tcW w:w="471" w:type="dxa"/>
            <w:vAlign w:val="center"/>
          </w:tcPr>
          <w:p w:rsidR="006C4F62" w:rsidRPr="00C701BF" w:rsidRDefault="006C4F62" w:rsidP="00AA75EA">
            <w:pPr>
              <w:pStyle w:val="naiskr"/>
              <w:jc w:val="center"/>
              <w:rPr>
                <w:sz w:val="22"/>
                <w:szCs w:val="22"/>
              </w:rPr>
            </w:pPr>
            <w:r w:rsidRPr="00C701BF">
              <w:rPr>
                <w:sz w:val="22"/>
                <w:szCs w:val="22"/>
              </w:rPr>
              <w:t>4.</w:t>
            </w:r>
          </w:p>
        </w:tc>
        <w:tc>
          <w:tcPr>
            <w:tcW w:w="4801" w:type="dxa"/>
            <w:gridSpan w:val="2"/>
            <w:vAlign w:val="center"/>
          </w:tcPr>
          <w:p w:rsidR="00EC02C1" w:rsidRPr="00C701BF" w:rsidRDefault="00EC02C1" w:rsidP="005A0D6C">
            <w:pPr>
              <w:pStyle w:val="naiskr"/>
              <w:ind w:left="170"/>
              <w:jc w:val="both"/>
            </w:pPr>
            <w:r w:rsidRPr="00C701BF">
              <w:t>Projekta izpildes ietekme uz pārvaldes institucionālo struktūru.</w:t>
            </w:r>
          </w:p>
          <w:p w:rsidR="006C4F62" w:rsidRPr="00C701BF" w:rsidRDefault="00EC02C1" w:rsidP="005A0D6C">
            <w:pPr>
              <w:pStyle w:val="naiskr"/>
              <w:ind w:left="170"/>
              <w:jc w:val="both"/>
            </w:pPr>
            <w:r w:rsidRPr="00C701BF">
              <w:t>Esošu institūciju likvidācija</w:t>
            </w:r>
          </w:p>
        </w:tc>
        <w:tc>
          <w:tcPr>
            <w:tcW w:w="4114" w:type="dxa"/>
            <w:vAlign w:val="center"/>
          </w:tcPr>
          <w:p w:rsidR="006C4F62" w:rsidRPr="00C701BF" w:rsidRDefault="005A0D6C" w:rsidP="00E202AF">
            <w:pPr>
              <w:pStyle w:val="naiskr"/>
              <w:ind w:left="170" w:right="170"/>
              <w:jc w:val="both"/>
              <w:rPr>
                <w:sz w:val="22"/>
                <w:szCs w:val="22"/>
              </w:rPr>
            </w:pPr>
            <w:r w:rsidRPr="00C701BF">
              <w:t>Saistībā ar projekta izpildi nav plānots likvidēt esoš</w:t>
            </w:r>
            <w:r w:rsidR="00E202AF" w:rsidRPr="00C701BF">
              <w:t>a</w:t>
            </w:r>
            <w:r w:rsidR="008126C5" w:rsidRPr="00C701BF">
              <w:t>s</w:t>
            </w:r>
            <w:r w:rsidRPr="00C701BF">
              <w:t xml:space="preserve"> </w:t>
            </w:r>
            <w:r w:rsidR="008126C5" w:rsidRPr="00C701BF">
              <w:t>institūcijas</w:t>
            </w:r>
            <w:r w:rsidRPr="00C701BF">
              <w:t>.</w:t>
            </w:r>
          </w:p>
        </w:tc>
      </w:tr>
      <w:tr w:rsidR="006C4F62" w:rsidRPr="00C701BF" w:rsidTr="00214E1D">
        <w:trPr>
          <w:tblCellSpacing w:w="0" w:type="dxa"/>
        </w:trPr>
        <w:tc>
          <w:tcPr>
            <w:tcW w:w="471" w:type="dxa"/>
            <w:vAlign w:val="center"/>
          </w:tcPr>
          <w:p w:rsidR="006C4F62" w:rsidRPr="00C701BF" w:rsidRDefault="006C4F62" w:rsidP="00AA75EA">
            <w:pPr>
              <w:pStyle w:val="naiskr"/>
              <w:jc w:val="center"/>
              <w:rPr>
                <w:sz w:val="22"/>
                <w:szCs w:val="22"/>
              </w:rPr>
            </w:pPr>
            <w:r w:rsidRPr="00C701BF">
              <w:rPr>
                <w:sz w:val="22"/>
                <w:szCs w:val="22"/>
              </w:rPr>
              <w:t>5.</w:t>
            </w:r>
          </w:p>
        </w:tc>
        <w:tc>
          <w:tcPr>
            <w:tcW w:w="4801" w:type="dxa"/>
            <w:gridSpan w:val="2"/>
            <w:vAlign w:val="center"/>
          </w:tcPr>
          <w:p w:rsidR="00EC02C1" w:rsidRPr="00C701BF" w:rsidRDefault="00EC02C1" w:rsidP="005A0D6C">
            <w:pPr>
              <w:pStyle w:val="naiskr"/>
              <w:ind w:left="170"/>
              <w:jc w:val="both"/>
            </w:pPr>
            <w:r w:rsidRPr="00C701BF">
              <w:t>Projekta izpildes ietekme uz pārvaldes institucionālo struktūru.</w:t>
            </w:r>
          </w:p>
          <w:p w:rsidR="006C4F62" w:rsidRPr="00C701BF" w:rsidRDefault="00EC02C1" w:rsidP="005A0D6C">
            <w:pPr>
              <w:pStyle w:val="naiskr"/>
              <w:ind w:left="170"/>
              <w:jc w:val="both"/>
            </w:pPr>
            <w:r w:rsidRPr="00C701BF">
              <w:t>Esošu institūciju reorganizācija</w:t>
            </w:r>
          </w:p>
        </w:tc>
        <w:tc>
          <w:tcPr>
            <w:tcW w:w="4114" w:type="dxa"/>
            <w:vAlign w:val="center"/>
          </w:tcPr>
          <w:p w:rsidR="006C4F62" w:rsidRPr="00C701BF" w:rsidRDefault="005A0D6C" w:rsidP="00E202AF">
            <w:pPr>
              <w:pStyle w:val="naiskr"/>
              <w:ind w:left="170" w:right="170"/>
              <w:jc w:val="both"/>
              <w:rPr>
                <w:sz w:val="22"/>
                <w:szCs w:val="22"/>
              </w:rPr>
            </w:pPr>
            <w:r w:rsidRPr="00C701BF">
              <w:t xml:space="preserve">Saistībā ar projekta izpildi nav plānots reorganizēt </w:t>
            </w:r>
            <w:r w:rsidR="00E202AF" w:rsidRPr="00C701BF">
              <w:t xml:space="preserve">esošas institūcijas </w:t>
            </w:r>
            <w:r w:rsidRPr="00C701BF">
              <w:t>vai arī apvienot esošas institūcijas.</w:t>
            </w:r>
          </w:p>
        </w:tc>
      </w:tr>
      <w:tr w:rsidR="006C4F62" w:rsidRPr="00C701BF" w:rsidTr="000135BD">
        <w:trPr>
          <w:trHeight w:val="70"/>
          <w:tblCellSpacing w:w="0" w:type="dxa"/>
        </w:trPr>
        <w:tc>
          <w:tcPr>
            <w:tcW w:w="471" w:type="dxa"/>
            <w:vAlign w:val="center"/>
          </w:tcPr>
          <w:p w:rsidR="006C4F62" w:rsidRPr="00C701BF" w:rsidRDefault="006C4F62" w:rsidP="00AA75EA">
            <w:pPr>
              <w:pStyle w:val="naiskr"/>
              <w:jc w:val="center"/>
              <w:rPr>
                <w:sz w:val="22"/>
                <w:szCs w:val="22"/>
              </w:rPr>
            </w:pPr>
            <w:r w:rsidRPr="00C701BF">
              <w:rPr>
                <w:sz w:val="22"/>
                <w:szCs w:val="22"/>
              </w:rPr>
              <w:t>6.</w:t>
            </w:r>
          </w:p>
        </w:tc>
        <w:tc>
          <w:tcPr>
            <w:tcW w:w="4801" w:type="dxa"/>
            <w:gridSpan w:val="2"/>
            <w:vAlign w:val="center"/>
          </w:tcPr>
          <w:p w:rsidR="006C4F62" w:rsidRPr="00C701BF" w:rsidRDefault="00EC02C1" w:rsidP="005A0D6C">
            <w:pPr>
              <w:pStyle w:val="naiskr"/>
              <w:ind w:left="170"/>
              <w:jc w:val="both"/>
            </w:pPr>
            <w:r w:rsidRPr="00C701BF">
              <w:t>Cita informācija</w:t>
            </w:r>
          </w:p>
        </w:tc>
        <w:tc>
          <w:tcPr>
            <w:tcW w:w="4114" w:type="dxa"/>
            <w:vAlign w:val="center"/>
          </w:tcPr>
          <w:p w:rsidR="006C4F62" w:rsidRPr="00C701BF" w:rsidRDefault="005A0D6C" w:rsidP="005A0D6C">
            <w:pPr>
              <w:pStyle w:val="naiskr"/>
              <w:ind w:left="170" w:right="170"/>
              <w:jc w:val="both"/>
              <w:rPr>
                <w:sz w:val="22"/>
                <w:szCs w:val="22"/>
              </w:rPr>
            </w:pPr>
            <w:r w:rsidRPr="00C701BF">
              <w:rPr>
                <w:sz w:val="22"/>
                <w:szCs w:val="22"/>
              </w:rPr>
              <w:t>Nav.</w:t>
            </w:r>
          </w:p>
          <w:p w:rsidR="00B25E6C" w:rsidRPr="00C701BF" w:rsidRDefault="00B25E6C" w:rsidP="00B25E6C">
            <w:pPr>
              <w:pStyle w:val="naiskr"/>
              <w:ind w:right="170"/>
              <w:jc w:val="both"/>
              <w:rPr>
                <w:sz w:val="22"/>
                <w:szCs w:val="22"/>
              </w:rPr>
            </w:pPr>
          </w:p>
        </w:tc>
      </w:tr>
    </w:tbl>
    <w:p w:rsidR="000D5243" w:rsidRPr="00C701BF" w:rsidRDefault="007B4B15" w:rsidP="006C35EF">
      <w:pPr>
        <w:ind w:right="170"/>
        <w:jc w:val="both"/>
      </w:pPr>
      <w:r w:rsidRPr="00C701BF">
        <w:t>Anotācijas</w:t>
      </w:r>
      <w:r w:rsidR="00766A94" w:rsidRPr="00C701BF">
        <w:t xml:space="preserve"> III, IV</w:t>
      </w:r>
      <w:r w:rsidR="000D5243" w:rsidRPr="00C701BF">
        <w:t xml:space="preserve">, </w:t>
      </w:r>
      <w:r w:rsidR="00F66E8D" w:rsidRPr="00C701BF">
        <w:t>V un</w:t>
      </w:r>
      <w:r w:rsidR="00501BBB" w:rsidRPr="00C701BF">
        <w:t xml:space="preserve"> </w:t>
      </w:r>
      <w:r w:rsidR="00F66E8D" w:rsidRPr="00C701BF">
        <w:t>VI</w:t>
      </w:r>
      <w:r w:rsidR="000D5243" w:rsidRPr="00C701BF">
        <w:t xml:space="preserve"> sadaļa</w:t>
      </w:r>
      <w:r w:rsidR="00F66E8D" w:rsidRPr="00C701BF">
        <w:t>: noteikumu projekts šo jomu neskar</w:t>
      </w:r>
      <w:r w:rsidR="000D5243" w:rsidRPr="00C701BF">
        <w:t>.</w:t>
      </w:r>
    </w:p>
    <w:p w:rsidR="00F117C1" w:rsidRPr="00C701BF" w:rsidRDefault="00F117C1" w:rsidP="00EC498C">
      <w:pPr>
        <w:tabs>
          <w:tab w:val="left" w:pos="6804"/>
        </w:tabs>
      </w:pPr>
    </w:p>
    <w:p w:rsidR="001C3C78" w:rsidRDefault="00A33C68" w:rsidP="00A33C68">
      <w:pPr>
        <w:tabs>
          <w:tab w:val="left" w:pos="6804"/>
        </w:tabs>
        <w:ind w:left="-142"/>
        <w:rPr>
          <w:bCs/>
        </w:rPr>
      </w:pPr>
      <w:r>
        <w:rPr>
          <w:bCs/>
        </w:rPr>
        <w:t>Finanšu ministrs</w:t>
      </w:r>
      <w:r>
        <w:rPr>
          <w:bCs/>
        </w:rPr>
        <w:tab/>
        <w:t>A</w:t>
      </w:r>
      <w:r w:rsidR="001C3C78" w:rsidRPr="00B5405B">
        <w:rPr>
          <w:bCs/>
        </w:rPr>
        <w:t>.</w:t>
      </w:r>
      <w:r>
        <w:rPr>
          <w:bCs/>
        </w:rPr>
        <w:t>Vilks</w:t>
      </w:r>
    </w:p>
    <w:p w:rsidR="000135BD" w:rsidRPr="00B5405B" w:rsidRDefault="000135BD" w:rsidP="00842DCE">
      <w:pPr>
        <w:tabs>
          <w:tab w:val="left" w:pos="6804"/>
        </w:tabs>
        <w:rPr>
          <w:bCs/>
        </w:rPr>
      </w:pPr>
    </w:p>
    <w:p w:rsidR="006936BF" w:rsidRDefault="006936BF" w:rsidP="001C3C78">
      <w:pPr>
        <w:tabs>
          <w:tab w:val="left" w:pos="6804"/>
        </w:tabs>
        <w:ind w:left="-142"/>
        <w:rPr>
          <w:sz w:val="22"/>
          <w:szCs w:val="22"/>
        </w:rPr>
      </w:pPr>
      <w:r>
        <w:rPr>
          <w:sz w:val="22"/>
          <w:szCs w:val="22"/>
        </w:rPr>
        <w:t>13.12.12 9:47</w:t>
      </w:r>
    </w:p>
    <w:p w:rsidR="001C3C78" w:rsidRPr="00CB6922" w:rsidRDefault="00123DFE" w:rsidP="001C3C78">
      <w:pPr>
        <w:tabs>
          <w:tab w:val="left" w:pos="6804"/>
        </w:tabs>
        <w:ind w:left="-142"/>
        <w:rPr>
          <w:bCs/>
          <w:sz w:val="22"/>
          <w:szCs w:val="22"/>
        </w:rPr>
      </w:pPr>
      <w:r w:rsidRPr="00CB6922">
        <w:rPr>
          <w:sz w:val="22"/>
          <w:szCs w:val="22"/>
        </w:rPr>
        <w:t>1</w:t>
      </w:r>
      <w:r w:rsidR="001C3C78" w:rsidRPr="00CB6922">
        <w:rPr>
          <w:sz w:val="22"/>
          <w:szCs w:val="22"/>
        </w:rPr>
        <w:t> </w:t>
      </w:r>
      <w:r w:rsidR="00B23F5B">
        <w:rPr>
          <w:sz w:val="22"/>
          <w:szCs w:val="22"/>
        </w:rPr>
        <w:t>824</w:t>
      </w:r>
    </w:p>
    <w:p w:rsidR="001C3C78" w:rsidRPr="00CB6922" w:rsidRDefault="00D7640D" w:rsidP="001C3C78">
      <w:pPr>
        <w:tabs>
          <w:tab w:val="left" w:pos="6804"/>
        </w:tabs>
        <w:ind w:left="-142"/>
        <w:rPr>
          <w:bCs/>
          <w:sz w:val="22"/>
          <w:szCs w:val="22"/>
        </w:rPr>
      </w:pPr>
      <w:r w:rsidRPr="00CB6922">
        <w:rPr>
          <w:sz w:val="22"/>
          <w:szCs w:val="22"/>
        </w:rPr>
        <w:t>Edgars Zandbergs</w:t>
      </w:r>
    </w:p>
    <w:bookmarkStart w:id="0" w:name="_GoBack"/>
    <w:p w:rsidR="00907DFF" w:rsidRPr="00CB6922" w:rsidRDefault="00792A7D" w:rsidP="001C3C78">
      <w:pPr>
        <w:tabs>
          <w:tab w:val="left" w:pos="6804"/>
        </w:tabs>
        <w:ind w:left="-142"/>
        <w:rPr>
          <w:bCs/>
          <w:sz w:val="22"/>
          <w:szCs w:val="22"/>
        </w:rPr>
      </w:pPr>
      <w:r w:rsidRPr="00CB6922">
        <w:rPr>
          <w:sz w:val="22"/>
          <w:szCs w:val="22"/>
        </w:rPr>
        <w:fldChar w:fldCharType="begin"/>
      </w:r>
      <w:r w:rsidRPr="00CB6922">
        <w:rPr>
          <w:sz w:val="22"/>
          <w:szCs w:val="22"/>
        </w:rPr>
        <w:instrText xml:space="preserve"> COMMENTS   \* MERGEFORMAT </w:instrText>
      </w:r>
      <w:r w:rsidRPr="00CB6922">
        <w:rPr>
          <w:sz w:val="22"/>
          <w:szCs w:val="22"/>
        </w:rPr>
        <w:fldChar w:fldCharType="separate"/>
      </w:r>
      <w:proofErr w:type="spellStart"/>
      <w:r w:rsidR="00D7640D" w:rsidRPr="00CB6922">
        <w:rPr>
          <w:sz w:val="22"/>
          <w:szCs w:val="22"/>
        </w:rPr>
        <w:t>Edgars.Zandbergs@fm.gov.lv</w:t>
      </w:r>
      <w:proofErr w:type="spellEnd"/>
      <w:r w:rsidR="00D7640D" w:rsidRPr="00CB6922">
        <w:rPr>
          <w:sz w:val="22"/>
          <w:szCs w:val="22"/>
        </w:rPr>
        <w:t xml:space="preserve">, </w:t>
      </w:r>
      <w:proofErr w:type="spellStart"/>
      <w:r w:rsidR="00D7640D" w:rsidRPr="00CB6922">
        <w:rPr>
          <w:sz w:val="22"/>
          <w:szCs w:val="22"/>
        </w:rPr>
        <w:t>tālr</w:t>
      </w:r>
      <w:proofErr w:type="spellEnd"/>
      <w:r w:rsidR="00D7640D" w:rsidRPr="00CB6922">
        <w:rPr>
          <w:sz w:val="22"/>
          <w:szCs w:val="22"/>
        </w:rPr>
        <w:t>. 67</w:t>
      </w:r>
      <w:r w:rsidRPr="00CB6922">
        <w:rPr>
          <w:sz w:val="22"/>
          <w:szCs w:val="22"/>
        </w:rPr>
        <w:fldChar w:fldCharType="end"/>
      </w:r>
      <w:r w:rsidR="00D7640D" w:rsidRPr="00CB6922">
        <w:rPr>
          <w:sz w:val="22"/>
          <w:szCs w:val="22"/>
        </w:rPr>
        <w:t>095532</w:t>
      </w:r>
      <w:bookmarkEnd w:id="0"/>
    </w:p>
    <w:sectPr w:rsidR="00907DFF" w:rsidRPr="00CB6922" w:rsidSect="00AA75EA">
      <w:headerReference w:type="even" r:id="rId9"/>
      <w:headerReference w:type="default" r:id="rId10"/>
      <w:footerReference w:type="default" r:id="rId11"/>
      <w:footerReference w:type="first" r:id="rId12"/>
      <w:pgSz w:w="11906" w:h="16838"/>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72A2" w:rsidRDefault="00BD72A2" w:rsidP="00844DB2">
      <w:pPr>
        <w:pStyle w:val="naiskr"/>
      </w:pPr>
      <w:r>
        <w:separator/>
      </w:r>
    </w:p>
  </w:endnote>
  <w:endnote w:type="continuationSeparator" w:id="0">
    <w:p w:rsidR="00BD72A2" w:rsidRDefault="00BD72A2" w:rsidP="00844DB2">
      <w:pPr>
        <w:pStyle w:val="naisk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EUAlbertina">
    <w:altName w:val="Times New Roman"/>
    <w:panose1 w:val="00000000000000000000"/>
    <w:charset w:val="EE"/>
    <w:family w:val="roman"/>
    <w:notTrueType/>
    <w:pitch w:val="default"/>
    <w:sig w:usb0="00000005" w:usb1="00000000" w:usb2="00000000" w:usb3="00000000" w:csb0="00000002"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1D8F" w:rsidRDefault="005F1D8F" w:rsidP="00370D36">
    <w:pPr>
      <w:jc w:val="both"/>
      <w:rPr>
        <w:sz w:val="20"/>
        <w:szCs w:val="20"/>
      </w:rPr>
    </w:pPr>
  </w:p>
  <w:p w:rsidR="005F1D8F" w:rsidRDefault="005F1D8F" w:rsidP="00370D36">
    <w:pPr>
      <w:jc w:val="both"/>
      <w:rPr>
        <w:sz w:val="20"/>
        <w:szCs w:val="20"/>
      </w:rPr>
    </w:pPr>
  </w:p>
  <w:p w:rsidR="005F1D8F" w:rsidRPr="002760A5" w:rsidRDefault="008E73EC" w:rsidP="00370D36">
    <w:pPr>
      <w:pStyle w:val="BodyText3"/>
      <w:jc w:val="both"/>
      <w:rPr>
        <w:lang w:val="lv-LV"/>
      </w:rPr>
    </w:pPr>
    <w:r>
      <w:rPr>
        <w:lang w:val="lv-LV"/>
      </w:rPr>
      <w:t>FMAnot_13</w:t>
    </w:r>
    <w:r w:rsidR="005F1D8F">
      <w:rPr>
        <w:lang w:val="lv-LV"/>
      </w:rPr>
      <w:t>12</w:t>
    </w:r>
    <w:r w:rsidR="005F1D8F" w:rsidRPr="002760A5">
      <w:rPr>
        <w:lang w:val="lv-LV"/>
      </w:rPr>
      <w:t xml:space="preserve">12_TP </w:t>
    </w:r>
    <w:proofErr w:type="spellStart"/>
    <w:r w:rsidR="005F1D8F" w:rsidRPr="002760A5">
      <w:rPr>
        <w:lang w:val="lv-LV"/>
      </w:rPr>
      <w:t>not</w:t>
    </w:r>
    <w:proofErr w:type="spellEnd"/>
    <w:r w:rsidR="005F1D8F" w:rsidRPr="002760A5">
      <w:rPr>
        <w:lang w:val="lv-LV"/>
      </w:rPr>
      <w:t>.</w:t>
    </w:r>
    <w:r w:rsidR="005F1D8F">
      <w:rPr>
        <w:lang w:val="lv-LV"/>
      </w:rPr>
      <w:t>,</w:t>
    </w:r>
    <w:r w:rsidR="005F1D8F" w:rsidRPr="002760A5">
      <w:rPr>
        <w:lang w:val="lv-LV"/>
      </w:rPr>
      <w:t>: Ministru kabineta noteikumu  projekta “</w:t>
    </w:r>
    <w:r w:rsidR="005F1D8F" w:rsidRPr="002760A5">
      <w:rPr>
        <w:bCs/>
        <w:lang w:val="lv-LV"/>
      </w:rPr>
      <w:t>Grozījumi Ministru kabineta 2011.gada 6. septembra noteikumos Nr.694 „Noteikumi par darbības programmas „Cilvēkresursi un nodarbinātība” papildinājuma 1.6.1.1.aktivitātes „Programmas vadības un atbalsta funkciju nodrošināšana”, darbības programmas „Uzņēmējdarbība un inovācijas” papildinājuma 2.4.1.1.aktivitātes „Programmas vadības un atbalsta funkciju nodrošināšana”, darbības programmas „Infrastruktūra un pakalpojumi” papildinājuma 3.7.1.1.aktivitātes „Programmas vadības un atbalsta funkciju nodrošināšana” un 3.8.1.1.aktivitātes „Programmas vadības un atbalsta funkciju nodrošināšana” projektu iesniegumu atlases otro kārtu””</w:t>
    </w:r>
    <w:r w:rsidR="005F1D8F" w:rsidRPr="002760A5">
      <w:rPr>
        <w:lang w:val="lv-LV"/>
      </w:rPr>
      <w:t xml:space="preserve"> anotācija</w:t>
    </w:r>
  </w:p>
  <w:p w:rsidR="005F1D8F" w:rsidRDefault="005F1D8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1D8F" w:rsidRDefault="005F1D8F" w:rsidP="00AA75EA">
    <w:pPr>
      <w:jc w:val="both"/>
      <w:rPr>
        <w:sz w:val="20"/>
        <w:szCs w:val="20"/>
      </w:rPr>
    </w:pPr>
  </w:p>
  <w:p w:rsidR="005F1D8F" w:rsidRPr="002760A5" w:rsidRDefault="008E73EC" w:rsidP="000A7B3E">
    <w:pPr>
      <w:pStyle w:val="BodyText3"/>
      <w:jc w:val="both"/>
      <w:rPr>
        <w:lang w:val="lv-LV"/>
      </w:rPr>
    </w:pPr>
    <w:r>
      <w:rPr>
        <w:lang w:val="lv-LV"/>
      </w:rPr>
      <w:t>FMAnot_13</w:t>
    </w:r>
    <w:r w:rsidR="005F1D8F">
      <w:rPr>
        <w:lang w:val="lv-LV"/>
      </w:rPr>
      <w:t>12</w:t>
    </w:r>
    <w:r w:rsidR="005F1D8F" w:rsidRPr="002760A5">
      <w:rPr>
        <w:lang w:val="lv-LV"/>
      </w:rPr>
      <w:t xml:space="preserve">12_TP </w:t>
    </w:r>
    <w:proofErr w:type="spellStart"/>
    <w:r w:rsidR="005F1D8F" w:rsidRPr="002760A5">
      <w:rPr>
        <w:lang w:val="lv-LV"/>
      </w:rPr>
      <w:t>not</w:t>
    </w:r>
    <w:proofErr w:type="spellEnd"/>
    <w:r w:rsidR="005F1D8F" w:rsidRPr="002760A5">
      <w:rPr>
        <w:lang w:val="lv-LV"/>
      </w:rPr>
      <w:t>.</w:t>
    </w:r>
    <w:r w:rsidR="005F1D8F">
      <w:rPr>
        <w:lang w:val="lv-LV"/>
      </w:rPr>
      <w:t>,</w:t>
    </w:r>
    <w:r w:rsidR="005F1D8F" w:rsidRPr="002760A5">
      <w:rPr>
        <w:lang w:val="lv-LV"/>
      </w:rPr>
      <w:t>: Ministru kabineta noteikumu  projekta “</w:t>
    </w:r>
    <w:r w:rsidR="005F1D8F" w:rsidRPr="002760A5">
      <w:rPr>
        <w:bCs/>
        <w:lang w:val="lv-LV"/>
      </w:rPr>
      <w:t>Grozījumi Ministru kabineta 2011.gada 6. septembra noteikumos Nr.694 „Noteikumi par darbības programmas „Cilvēkresursi un nodarbinātība” papildinājuma 1.6.1.1.aktivitātes „Programmas vadības un atbalsta funkciju nodrošināšana”, darbības programmas „Uzņēmējdarbība un inovācijas” papildinājuma 2.4.1.1.aktivitātes „Programmas vadības un atbalsta funkciju nodrošināšana”, darbības programmas „Infrastruktūra un pakalpojumi” papildinājuma 3.7.1.1.aktivitātes „Programmas vadības un atbalsta funkciju nodrošināšana” un 3.8.1.1.aktivitātes „Programmas vadības un atbalsta funkciju nodrošināšana” projektu iesniegumu atlases otro kārtu””</w:t>
    </w:r>
    <w:r w:rsidR="005F1D8F" w:rsidRPr="002760A5">
      <w:rPr>
        <w:lang w:val="lv-LV"/>
      </w:rPr>
      <w:t xml:space="preserve"> anotācija</w:t>
    </w:r>
  </w:p>
  <w:p w:rsidR="005F1D8F" w:rsidRPr="000A7B3E" w:rsidRDefault="005F1D8F" w:rsidP="002A5D3E">
    <w:pPr>
      <w:ind w:left="-720" w:right="-508"/>
      <w:jc w:val="both"/>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72A2" w:rsidRDefault="00BD72A2" w:rsidP="00844DB2">
      <w:pPr>
        <w:pStyle w:val="naiskr"/>
      </w:pPr>
      <w:r>
        <w:separator/>
      </w:r>
    </w:p>
  </w:footnote>
  <w:footnote w:type="continuationSeparator" w:id="0">
    <w:p w:rsidR="00BD72A2" w:rsidRDefault="00BD72A2" w:rsidP="00844DB2">
      <w:pPr>
        <w:pStyle w:val="naisk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1D8F" w:rsidRDefault="005F1D8F" w:rsidP="00AA75E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F1D8F" w:rsidRDefault="005F1D8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1D8F" w:rsidRPr="00DB073B" w:rsidRDefault="005F1D8F" w:rsidP="00AA75EA">
    <w:pPr>
      <w:pStyle w:val="Header"/>
      <w:framePr w:wrap="around" w:vAnchor="text" w:hAnchor="margin" w:xAlign="center" w:y="1"/>
      <w:rPr>
        <w:rStyle w:val="PageNumber"/>
        <w:sz w:val="20"/>
        <w:szCs w:val="20"/>
      </w:rPr>
    </w:pPr>
    <w:r w:rsidRPr="00DB073B">
      <w:rPr>
        <w:rStyle w:val="PageNumber"/>
        <w:sz w:val="20"/>
        <w:szCs w:val="20"/>
      </w:rPr>
      <w:fldChar w:fldCharType="begin"/>
    </w:r>
    <w:r w:rsidRPr="00DB073B">
      <w:rPr>
        <w:rStyle w:val="PageNumber"/>
        <w:sz w:val="20"/>
        <w:szCs w:val="20"/>
      </w:rPr>
      <w:instrText xml:space="preserve">PAGE  </w:instrText>
    </w:r>
    <w:r w:rsidRPr="00DB073B">
      <w:rPr>
        <w:rStyle w:val="PageNumber"/>
        <w:sz w:val="20"/>
        <w:szCs w:val="20"/>
      </w:rPr>
      <w:fldChar w:fldCharType="separate"/>
    </w:r>
    <w:r w:rsidR="00096E9A">
      <w:rPr>
        <w:rStyle w:val="PageNumber"/>
        <w:noProof/>
        <w:sz w:val="20"/>
        <w:szCs w:val="20"/>
      </w:rPr>
      <w:t>7</w:t>
    </w:r>
    <w:r w:rsidRPr="00DB073B">
      <w:rPr>
        <w:rStyle w:val="PageNumber"/>
        <w:sz w:val="20"/>
        <w:szCs w:val="20"/>
      </w:rPr>
      <w:fldChar w:fldCharType="end"/>
    </w:r>
  </w:p>
  <w:p w:rsidR="005F1D8F" w:rsidRPr="008F652D" w:rsidRDefault="005F1D8F">
    <w:pPr>
      <w:pStyle w:val="Header"/>
      <w:rPr>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B7488"/>
    <w:multiLevelType w:val="hybridMultilevel"/>
    <w:tmpl w:val="F8A0DD24"/>
    <w:lvl w:ilvl="0" w:tplc="5AEA324A">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11895559"/>
    <w:multiLevelType w:val="hybridMultilevel"/>
    <w:tmpl w:val="0F52287A"/>
    <w:lvl w:ilvl="0" w:tplc="FD4E37C0">
      <w:start w:val="1"/>
      <w:numFmt w:val="lowerLetter"/>
      <w:lvlText w:val="%1)"/>
      <w:lvlJc w:val="left"/>
      <w:pPr>
        <w:ind w:left="731" w:hanging="360"/>
      </w:pPr>
      <w:rPr>
        <w:rFonts w:hint="default"/>
      </w:rPr>
    </w:lvl>
    <w:lvl w:ilvl="1" w:tplc="04260019" w:tentative="1">
      <w:start w:val="1"/>
      <w:numFmt w:val="lowerLetter"/>
      <w:lvlText w:val="%2."/>
      <w:lvlJc w:val="left"/>
      <w:pPr>
        <w:ind w:left="1451" w:hanging="360"/>
      </w:pPr>
    </w:lvl>
    <w:lvl w:ilvl="2" w:tplc="0426001B" w:tentative="1">
      <w:start w:val="1"/>
      <w:numFmt w:val="lowerRoman"/>
      <w:lvlText w:val="%3."/>
      <w:lvlJc w:val="right"/>
      <w:pPr>
        <w:ind w:left="2171" w:hanging="180"/>
      </w:pPr>
    </w:lvl>
    <w:lvl w:ilvl="3" w:tplc="0426000F" w:tentative="1">
      <w:start w:val="1"/>
      <w:numFmt w:val="decimal"/>
      <w:lvlText w:val="%4."/>
      <w:lvlJc w:val="left"/>
      <w:pPr>
        <w:ind w:left="2891" w:hanging="360"/>
      </w:pPr>
    </w:lvl>
    <w:lvl w:ilvl="4" w:tplc="04260019" w:tentative="1">
      <w:start w:val="1"/>
      <w:numFmt w:val="lowerLetter"/>
      <w:lvlText w:val="%5."/>
      <w:lvlJc w:val="left"/>
      <w:pPr>
        <w:ind w:left="3611" w:hanging="360"/>
      </w:pPr>
    </w:lvl>
    <w:lvl w:ilvl="5" w:tplc="0426001B" w:tentative="1">
      <w:start w:val="1"/>
      <w:numFmt w:val="lowerRoman"/>
      <w:lvlText w:val="%6."/>
      <w:lvlJc w:val="right"/>
      <w:pPr>
        <w:ind w:left="4331" w:hanging="180"/>
      </w:pPr>
    </w:lvl>
    <w:lvl w:ilvl="6" w:tplc="0426000F" w:tentative="1">
      <w:start w:val="1"/>
      <w:numFmt w:val="decimal"/>
      <w:lvlText w:val="%7."/>
      <w:lvlJc w:val="left"/>
      <w:pPr>
        <w:ind w:left="5051" w:hanging="360"/>
      </w:pPr>
    </w:lvl>
    <w:lvl w:ilvl="7" w:tplc="04260019" w:tentative="1">
      <w:start w:val="1"/>
      <w:numFmt w:val="lowerLetter"/>
      <w:lvlText w:val="%8."/>
      <w:lvlJc w:val="left"/>
      <w:pPr>
        <w:ind w:left="5771" w:hanging="360"/>
      </w:pPr>
    </w:lvl>
    <w:lvl w:ilvl="8" w:tplc="0426001B" w:tentative="1">
      <w:start w:val="1"/>
      <w:numFmt w:val="lowerRoman"/>
      <w:lvlText w:val="%9."/>
      <w:lvlJc w:val="right"/>
      <w:pPr>
        <w:ind w:left="6491" w:hanging="180"/>
      </w:pPr>
    </w:lvl>
  </w:abstractNum>
  <w:abstractNum w:abstractNumId="2">
    <w:nsid w:val="1A4511CA"/>
    <w:multiLevelType w:val="hybridMultilevel"/>
    <w:tmpl w:val="4C80201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1F105507"/>
    <w:multiLevelType w:val="hybridMultilevel"/>
    <w:tmpl w:val="C108E8B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3573304A"/>
    <w:multiLevelType w:val="hybridMultilevel"/>
    <w:tmpl w:val="C268C45E"/>
    <w:lvl w:ilvl="0" w:tplc="21A06576">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41201F9E"/>
    <w:multiLevelType w:val="hybridMultilevel"/>
    <w:tmpl w:val="9E78F6A0"/>
    <w:lvl w:ilvl="0" w:tplc="974A9E2C">
      <w:start w:val="1"/>
      <w:numFmt w:val="decimal"/>
      <w:lvlText w:val="%1."/>
      <w:lvlJc w:val="left"/>
      <w:pPr>
        <w:tabs>
          <w:tab w:val="num" w:pos="170"/>
        </w:tabs>
        <w:ind w:left="170" w:hanging="360"/>
      </w:pPr>
      <w:rPr>
        <w:rFonts w:cs="Times New Roman" w:hint="default"/>
      </w:rPr>
    </w:lvl>
    <w:lvl w:ilvl="1" w:tplc="04260019" w:tentative="1">
      <w:start w:val="1"/>
      <w:numFmt w:val="lowerLetter"/>
      <w:lvlText w:val="%2."/>
      <w:lvlJc w:val="left"/>
      <w:pPr>
        <w:tabs>
          <w:tab w:val="num" w:pos="890"/>
        </w:tabs>
        <w:ind w:left="890" w:hanging="360"/>
      </w:pPr>
      <w:rPr>
        <w:rFonts w:cs="Times New Roman"/>
      </w:rPr>
    </w:lvl>
    <w:lvl w:ilvl="2" w:tplc="0426001B" w:tentative="1">
      <w:start w:val="1"/>
      <w:numFmt w:val="lowerRoman"/>
      <w:lvlText w:val="%3."/>
      <w:lvlJc w:val="right"/>
      <w:pPr>
        <w:tabs>
          <w:tab w:val="num" w:pos="1610"/>
        </w:tabs>
        <w:ind w:left="1610" w:hanging="180"/>
      </w:pPr>
      <w:rPr>
        <w:rFonts w:cs="Times New Roman"/>
      </w:rPr>
    </w:lvl>
    <w:lvl w:ilvl="3" w:tplc="0426000F" w:tentative="1">
      <w:start w:val="1"/>
      <w:numFmt w:val="decimal"/>
      <w:lvlText w:val="%4."/>
      <w:lvlJc w:val="left"/>
      <w:pPr>
        <w:tabs>
          <w:tab w:val="num" w:pos="2330"/>
        </w:tabs>
        <w:ind w:left="2330" w:hanging="360"/>
      </w:pPr>
      <w:rPr>
        <w:rFonts w:cs="Times New Roman"/>
      </w:rPr>
    </w:lvl>
    <w:lvl w:ilvl="4" w:tplc="04260019" w:tentative="1">
      <w:start w:val="1"/>
      <w:numFmt w:val="lowerLetter"/>
      <w:lvlText w:val="%5."/>
      <w:lvlJc w:val="left"/>
      <w:pPr>
        <w:tabs>
          <w:tab w:val="num" w:pos="3050"/>
        </w:tabs>
        <w:ind w:left="3050" w:hanging="360"/>
      </w:pPr>
      <w:rPr>
        <w:rFonts w:cs="Times New Roman"/>
      </w:rPr>
    </w:lvl>
    <w:lvl w:ilvl="5" w:tplc="0426001B" w:tentative="1">
      <w:start w:val="1"/>
      <w:numFmt w:val="lowerRoman"/>
      <w:lvlText w:val="%6."/>
      <w:lvlJc w:val="right"/>
      <w:pPr>
        <w:tabs>
          <w:tab w:val="num" w:pos="3770"/>
        </w:tabs>
        <w:ind w:left="3770" w:hanging="180"/>
      </w:pPr>
      <w:rPr>
        <w:rFonts w:cs="Times New Roman"/>
      </w:rPr>
    </w:lvl>
    <w:lvl w:ilvl="6" w:tplc="0426000F" w:tentative="1">
      <w:start w:val="1"/>
      <w:numFmt w:val="decimal"/>
      <w:lvlText w:val="%7."/>
      <w:lvlJc w:val="left"/>
      <w:pPr>
        <w:tabs>
          <w:tab w:val="num" w:pos="4490"/>
        </w:tabs>
        <w:ind w:left="4490" w:hanging="360"/>
      </w:pPr>
      <w:rPr>
        <w:rFonts w:cs="Times New Roman"/>
      </w:rPr>
    </w:lvl>
    <w:lvl w:ilvl="7" w:tplc="04260019" w:tentative="1">
      <w:start w:val="1"/>
      <w:numFmt w:val="lowerLetter"/>
      <w:lvlText w:val="%8."/>
      <w:lvlJc w:val="left"/>
      <w:pPr>
        <w:tabs>
          <w:tab w:val="num" w:pos="5210"/>
        </w:tabs>
        <w:ind w:left="5210" w:hanging="360"/>
      </w:pPr>
      <w:rPr>
        <w:rFonts w:cs="Times New Roman"/>
      </w:rPr>
    </w:lvl>
    <w:lvl w:ilvl="8" w:tplc="0426001B" w:tentative="1">
      <w:start w:val="1"/>
      <w:numFmt w:val="lowerRoman"/>
      <w:lvlText w:val="%9."/>
      <w:lvlJc w:val="right"/>
      <w:pPr>
        <w:tabs>
          <w:tab w:val="num" w:pos="5930"/>
        </w:tabs>
        <w:ind w:left="5930" w:hanging="180"/>
      </w:pPr>
      <w:rPr>
        <w:rFonts w:cs="Times New Roman"/>
      </w:rPr>
    </w:lvl>
  </w:abstractNum>
  <w:abstractNum w:abstractNumId="6">
    <w:nsid w:val="50312C14"/>
    <w:multiLevelType w:val="hybridMultilevel"/>
    <w:tmpl w:val="7DEC2AD6"/>
    <w:lvl w:ilvl="0" w:tplc="9FCCC190">
      <w:start w:val="1"/>
      <w:numFmt w:val="bullet"/>
      <w:lvlText w:val="-"/>
      <w:lvlJc w:val="left"/>
      <w:pPr>
        <w:ind w:left="720" w:hanging="360"/>
      </w:pPr>
      <w:rPr>
        <w:rFonts w:ascii="Times New Roman" w:eastAsia="Times New Roman" w:hAnsi="Times New Roman" w:cs="Times New Roman"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506D234E"/>
    <w:multiLevelType w:val="hybridMultilevel"/>
    <w:tmpl w:val="EA1CF794"/>
    <w:lvl w:ilvl="0" w:tplc="7012CF0A">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536D39CE"/>
    <w:multiLevelType w:val="hybridMultilevel"/>
    <w:tmpl w:val="92BE07A8"/>
    <w:lvl w:ilvl="0" w:tplc="B5A4CA0A">
      <w:start w:val="1"/>
      <w:numFmt w:val="decimal"/>
      <w:lvlText w:val="%1."/>
      <w:lvlJc w:val="left"/>
      <w:pPr>
        <w:tabs>
          <w:tab w:val="num" w:pos="735"/>
        </w:tabs>
        <w:ind w:left="735" w:hanging="375"/>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9">
    <w:nsid w:val="56ED15E1"/>
    <w:multiLevelType w:val="hybridMultilevel"/>
    <w:tmpl w:val="2EE8F0C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592113F1"/>
    <w:multiLevelType w:val="hybridMultilevel"/>
    <w:tmpl w:val="6812063E"/>
    <w:lvl w:ilvl="0" w:tplc="04260019">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5BB1577F"/>
    <w:multiLevelType w:val="hybridMultilevel"/>
    <w:tmpl w:val="EE806840"/>
    <w:lvl w:ilvl="0" w:tplc="04260001">
      <w:start w:val="1"/>
      <w:numFmt w:val="bullet"/>
      <w:lvlText w:val=""/>
      <w:lvlJc w:val="left"/>
      <w:pPr>
        <w:tabs>
          <w:tab w:val="num" w:pos="780"/>
        </w:tabs>
        <w:ind w:left="780" w:hanging="360"/>
      </w:pPr>
      <w:rPr>
        <w:rFonts w:ascii="Symbol" w:hAnsi="Symbol" w:hint="default"/>
      </w:rPr>
    </w:lvl>
    <w:lvl w:ilvl="1" w:tplc="04260003" w:tentative="1">
      <w:start w:val="1"/>
      <w:numFmt w:val="bullet"/>
      <w:lvlText w:val="o"/>
      <w:lvlJc w:val="left"/>
      <w:pPr>
        <w:tabs>
          <w:tab w:val="num" w:pos="1500"/>
        </w:tabs>
        <w:ind w:left="1500" w:hanging="360"/>
      </w:pPr>
      <w:rPr>
        <w:rFonts w:ascii="Courier New" w:hAnsi="Courier New" w:hint="default"/>
      </w:rPr>
    </w:lvl>
    <w:lvl w:ilvl="2" w:tplc="04260005" w:tentative="1">
      <w:start w:val="1"/>
      <w:numFmt w:val="bullet"/>
      <w:lvlText w:val=""/>
      <w:lvlJc w:val="left"/>
      <w:pPr>
        <w:tabs>
          <w:tab w:val="num" w:pos="2220"/>
        </w:tabs>
        <w:ind w:left="2220" w:hanging="360"/>
      </w:pPr>
      <w:rPr>
        <w:rFonts w:ascii="Wingdings" w:hAnsi="Wingdings" w:hint="default"/>
      </w:rPr>
    </w:lvl>
    <w:lvl w:ilvl="3" w:tplc="04260001" w:tentative="1">
      <w:start w:val="1"/>
      <w:numFmt w:val="bullet"/>
      <w:lvlText w:val=""/>
      <w:lvlJc w:val="left"/>
      <w:pPr>
        <w:tabs>
          <w:tab w:val="num" w:pos="2940"/>
        </w:tabs>
        <w:ind w:left="2940" w:hanging="360"/>
      </w:pPr>
      <w:rPr>
        <w:rFonts w:ascii="Symbol" w:hAnsi="Symbol" w:hint="default"/>
      </w:rPr>
    </w:lvl>
    <w:lvl w:ilvl="4" w:tplc="04260003" w:tentative="1">
      <w:start w:val="1"/>
      <w:numFmt w:val="bullet"/>
      <w:lvlText w:val="o"/>
      <w:lvlJc w:val="left"/>
      <w:pPr>
        <w:tabs>
          <w:tab w:val="num" w:pos="3660"/>
        </w:tabs>
        <w:ind w:left="3660" w:hanging="360"/>
      </w:pPr>
      <w:rPr>
        <w:rFonts w:ascii="Courier New" w:hAnsi="Courier New" w:hint="default"/>
      </w:rPr>
    </w:lvl>
    <w:lvl w:ilvl="5" w:tplc="04260005" w:tentative="1">
      <w:start w:val="1"/>
      <w:numFmt w:val="bullet"/>
      <w:lvlText w:val=""/>
      <w:lvlJc w:val="left"/>
      <w:pPr>
        <w:tabs>
          <w:tab w:val="num" w:pos="4380"/>
        </w:tabs>
        <w:ind w:left="4380" w:hanging="360"/>
      </w:pPr>
      <w:rPr>
        <w:rFonts w:ascii="Wingdings" w:hAnsi="Wingdings" w:hint="default"/>
      </w:rPr>
    </w:lvl>
    <w:lvl w:ilvl="6" w:tplc="04260001" w:tentative="1">
      <w:start w:val="1"/>
      <w:numFmt w:val="bullet"/>
      <w:lvlText w:val=""/>
      <w:lvlJc w:val="left"/>
      <w:pPr>
        <w:tabs>
          <w:tab w:val="num" w:pos="5100"/>
        </w:tabs>
        <w:ind w:left="5100" w:hanging="360"/>
      </w:pPr>
      <w:rPr>
        <w:rFonts w:ascii="Symbol" w:hAnsi="Symbol" w:hint="default"/>
      </w:rPr>
    </w:lvl>
    <w:lvl w:ilvl="7" w:tplc="04260003" w:tentative="1">
      <w:start w:val="1"/>
      <w:numFmt w:val="bullet"/>
      <w:lvlText w:val="o"/>
      <w:lvlJc w:val="left"/>
      <w:pPr>
        <w:tabs>
          <w:tab w:val="num" w:pos="5820"/>
        </w:tabs>
        <w:ind w:left="5820" w:hanging="360"/>
      </w:pPr>
      <w:rPr>
        <w:rFonts w:ascii="Courier New" w:hAnsi="Courier New" w:hint="default"/>
      </w:rPr>
    </w:lvl>
    <w:lvl w:ilvl="8" w:tplc="04260005" w:tentative="1">
      <w:start w:val="1"/>
      <w:numFmt w:val="bullet"/>
      <w:lvlText w:val=""/>
      <w:lvlJc w:val="left"/>
      <w:pPr>
        <w:tabs>
          <w:tab w:val="num" w:pos="6540"/>
        </w:tabs>
        <w:ind w:left="6540" w:hanging="360"/>
      </w:pPr>
      <w:rPr>
        <w:rFonts w:ascii="Wingdings" w:hAnsi="Wingdings" w:hint="default"/>
      </w:rPr>
    </w:lvl>
  </w:abstractNum>
  <w:abstractNum w:abstractNumId="12">
    <w:nsid w:val="5C190080"/>
    <w:multiLevelType w:val="hybridMultilevel"/>
    <w:tmpl w:val="B930E430"/>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3">
    <w:nsid w:val="5CE038AE"/>
    <w:multiLevelType w:val="hybridMultilevel"/>
    <w:tmpl w:val="410E4378"/>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4">
    <w:nsid w:val="60CC3E41"/>
    <w:multiLevelType w:val="hybridMultilevel"/>
    <w:tmpl w:val="0512EB5E"/>
    <w:lvl w:ilvl="0" w:tplc="2E0A885C">
      <w:start w:val="2"/>
      <w:numFmt w:val="bullet"/>
      <w:lvlText w:val="-"/>
      <w:lvlJc w:val="left"/>
      <w:pPr>
        <w:ind w:left="720" w:hanging="360"/>
      </w:pPr>
      <w:rPr>
        <w:rFonts w:ascii="Times New Roman" w:eastAsia="Times New Roman" w:hAnsi="Times New Roman" w:cs="Times New Roman" w:hint="default"/>
      </w:rPr>
    </w:lvl>
    <w:lvl w:ilvl="1" w:tplc="0426000F">
      <w:start w:val="1"/>
      <w:numFmt w:val="decimal"/>
      <w:lvlText w:val="%2."/>
      <w:lvlJc w:val="left"/>
      <w:pPr>
        <w:tabs>
          <w:tab w:val="num" w:pos="1440"/>
        </w:tabs>
        <w:ind w:left="1440" w:hanging="360"/>
      </w:pPr>
      <w:rPr>
        <w:rFonts w:hint="default"/>
      </w:rPr>
    </w:lvl>
    <w:lvl w:ilvl="2" w:tplc="04260005" w:tentative="1">
      <w:start w:val="1"/>
      <w:numFmt w:val="bullet"/>
      <w:lvlText w:val=""/>
      <w:lvlJc w:val="left"/>
      <w:pPr>
        <w:ind w:left="2160" w:hanging="360"/>
      </w:pPr>
      <w:rPr>
        <w:rFonts w:ascii="Wingdings" w:hAnsi="Wingdings" w:hint="default"/>
      </w:rPr>
    </w:lvl>
    <w:lvl w:ilvl="3" w:tplc="0426000F">
      <w:start w:val="1"/>
      <w:numFmt w:val="decimal"/>
      <w:lvlText w:val="%4."/>
      <w:lvlJc w:val="left"/>
      <w:pPr>
        <w:ind w:left="2880" w:hanging="360"/>
      </w:pPr>
      <w:rPr>
        <w:rFonts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nsid w:val="65FA6D97"/>
    <w:multiLevelType w:val="hybridMultilevel"/>
    <w:tmpl w:val="A8041FBE"/>
    <w:lvl w:ilvl="0" w:tplc="79FE874A">
      <w:start w:val="1"/>
      <w:numFmt w:val="bullet"/>
      <w:lvlText w:val="–"/>
      <w:lvlJc w:val="left"/>
      <w:pPr>
        <w:tabs>
          <w:tab w:val="num" w:pos="420"/>
        </w:tabs>
        <w:ind w:left="420" w:hanging="360"/>
      </w:pPr>
      <w:rPr>
        <w:rFonts w:ascii="Times New Roman" w:eastAsia="Times New Roman" w:hAnsi="Times New Roman" w:hint="default"/>
      </w:rPr>
    </w:lvl>
    <w:lvl w:ilvl="1" w:tplc="04260003" w:tentative="1">
      <w:start w:val="1"/>
      <w:numFmt w:val="bullet"/>
      <w:lvlText w:val="o"/>
      <w:lvlJc w:val="left"/>
      <w:pPr>
        <w:tabs>
          <w:tab w:val="num" w:pos="1140"/>
        </w:tabs>
        <w:ind w:left="1140" w:hanging="360"/>
      </w:pPr>
      <w:rPr>
        <w:rFonts w:ascii="Courier New" w:hAnsi="Courier New" w:hint="default"/>
      </w:rPr>
    </w:lvl>
    <w:lvl w:ilvl="2" w:tplc="04260005" w:tentative="1">
      <w:start w:val="1"/>
      <w:numFmt w:val="bullet"/>
      <w:lvlText w:val=""/>
      <w:lvlJc w:val="left"/>
      <w:pPr>
        <w:tabs>
          <w:tab w:val="num" w:pos="1860"/>
        </w:tabs>
        <w:ind w:left="1860" w:hanging="360"/>
      </w:pPr>
      <w:rPr>
        <w:rFonts w:ascii="Wingdings" w:hAnsi="Wingdings" w:hint="default"/>
      </w:rPr>
    </w:lvl>
    <w:lvl w:ilvl="3" w:tplc="04260001" w:tentative="1">
      <w:start w:val="1"/>
      <w:numFmt w:val="bullet"/>
      <w:lvlText w:val=""/>
      <w:lvlJc w:val="left"/>
      <w:pPr>
        <w:tabs>
          <w:tab w:val="num" w:pos="2580"/>
        </w:tabs>
        <w:ind w:left="2580" w:hanging="360"/>
      </w:pPr>
      <w:rPr>
        <w:rFonts w:ascii="Symbol" w:hAnsi="Symbol" w:hint="default"/>
      </w:rPr>
    </w:lvl>
    <w:lvl w:ilvl="4" w:tplc="04260003" w:tentative="1">
      <w:start w:val="1"/>
      <w:numFmt w:val="bullet"/>
      <w:lvlText w:val="o"/>
      <w:lvlJc w:val="left"/>
      <w:pPr>
        <w:tabs>
          <w:tab w:val="num" w:pos="3300"/>
        </w:tabs>
        <w:ind w:left="3300" w:hanging="360"/>
      </w:pPr>
      <w:rPr>
        <w:rFonts w:ascii="Courier New" w:hAnsi="Courier New" w:hint="default"/>
      </w:rPr>
    </w:lvl>
    <w:lvl w:ilvl="5" w:tplc="04260005" w:tentative="1">
      <w:start w:val="1"/>
      <w:numFmt w:val="bullet"/>
      <w:lvlText w:val=""/>
      <w:lvlJc w:val="left"/>
      <w:pPr>
        <w:tabs>
          <w:tab w:val="num" w:pos="4020"/>
        </w:tabs>
        <w:ind w:left="4020" w:hanging="360"/>
      </w:pPr>
      <w:rPr>
        <w:rFonts w:ascii="Wingdings" w:hAnsi="Wingdings" w:hint="default"/>
      </w:rPr>
    </w:lvl>
    <w:lvl w:ilvl="6" w:tplc="04260001" w:tentative="1">
      <w:start w:val="1"/>
      <w:numFmt w:val="bullet"/>
      <w:lvlText w:val=""/>
      <w:lvlJc w:val="left"/>
      <w:pPr>
        <w:tabs>
          <w:tab w:val="num" w:pos="4740"/>
        </w:tabs>
        <w:ind w:left="4740" w:hanging="360"/>
      </w:pPr>
      <w:rPr>
        <w:rFonts w:ascii="Symbol" w:hAnsi="Symbol" w:hint="default"/>
      </w:rPr>
    </w:lvl>
    <w:lvl w:ilvl="7" w:tplc="04260003" w:tentative="1">
      <w:start w:val="1"/>
      <w:numFmt w:val="bullet"/>
      <w:lvlText w:val="o"/>
      <w:lvlJc w:val="left"/>
      <w:pPr>
        <w:tabs>
          <w:tab w:val="num" w:pos="5460"/>
        </w:tabs>
        <w:ind w:left="5460" w:hanging="360"/>
      </w:pPr>
      <w:rPr>
        <w:rFonts w:ascii="Courier New" w:hAnsi="Courier New" w:hint="default"/>
      </w:rPr>
    </w:lvl>
    <w:lvl w:ilvl="8" w:tplc="04260005" w:tentative="1">
      <w:start w:val="1"/>
      <w:numFmt w:val="bullet"/>
      <w:lvlText w:val=""/>
      <w:lvlJc w:val="left"/>
      <w:pPr>
        <w:tabs>
          <w:tab w:val="num" w:pos="6180"/>
        </w:tabs>
        <w:ind w:left="6180" w:hanging="360"/>
      </w:pPr>
      <w:rPr>
        <w:rFonts w:ascii="Wingdings" w:hAnsi="Wingdings" w:hint="default"/>
      </w:rPr>
    </w:lvl>
  </w:abstractNum>
  <w:abstractNum w:abstractNumId="16">
    <w:nsid w:val="676903CF"/>
    <w:multiLevelType w:val="hybridMultilevel"/>
    <w:tmpl w:val="22D82AD8"/>
    <w:lvl w:ilvl="0" w:tplc="FC82C9C0">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69133A9D"/>
    <w:multiLevelType w:val="hybridMultilevel"/>
    <w:tmpl w:val="9328F17C"/>
    <w:lvl w:ilvl="0" w:tplc="04260001">
      <w:start w:val="1"/>
      <w:numFmt w:val="bullet"/>
      <w:lvlText w:val=""/>
      <w:lvlJc w:val="left"/>
      <w:pPr>
        <w:tabs>
          <w:tab w:val="num" w:pos="780"/>
        </w:tabs>
        <w:ind w:left="780" w:hanging="360"/>
      </w:pPr>
      <w:rPr>
        <w:rFonts w:ascii="Symbol" w:hAnsi="Symbol" w:hint="default"/>
      </w:rPr>
    </w:lvl>
    <w:lvl w:ilvl="1" w:tplc="04260003" w:tentative="1">
      <w:start w:val="1"/>
      <w:numFmt w:val="bullet"/>
      <w:lvlText w:val="o"/>
      <w:lvlJc w:val="left"/>
      <w:pPr>
        <w:tabs>
          <w:tab w:val="num" w:pos="1500"/>
        </w:tabs>
        <w:ind w:left="1500" w:hanging="360"/>
      </w:pPr>
      <w:rPr>
        <w:rFonts w:ascii="Courier New" w:hAnsi="Courier New" w:hint="default"/>
      </w:rPr>
    </w:lvl>
    <w:lvl w:ilvl="2" w:tplc="04260005" w:tentative="1">
      <w:start w:val="1"/>
      <w:numFmt w:val="bullet"/>
      <w:lvlText w:val=""/>
      <w:lvlJc w:val="left"/>
      <w:pPr>
        <w:tabs>
          <w:tab w:val="num" w:pos="2220"/>
        </w:tabs>
        <w:ind w:left="2220" w:hanging="360"/>
      </w:pPr>
      <w:rPr>
        <w:rFonts w:ascii="Wingdings" w:hAnsi="Wingdings" w:hint="default"/>
      </w:rPr>
    </w:lvl>
    <w:lvl w:ilvl="3" w:tplc="04260001" w:tentative="1">
      <w:start w:val="1"/>
      <w:numFmt w:val="bullet"/>
      <w:lvlText w:val=""/>
      <w:lvlJc w:val="left"/>
      <w:pPr>
        <w:tabs>
          <w:tab w:val="num" w:pos="2940"/>
        </w:tabs>
        <w:ind w:left="2940" w:hanging="360"/>
      </w:pPr>
      <w:rPr>
        <w:rFonts w:ascii="Symbol" w:hAnsi="Symbol" w:hint="default"/>
      </w:rPr>
    </w:lvl>
    <w:lvl w:ilvl="4" w:tplc="04260003" w:tentative="1">
      <w:start w:val="1"/>
      <w:numFmt w:val="bullet"/>
      <w:lvlText w:val="o"/>
      <w:lvlJc w:val="left"/>
      <w:pPr>
        <w:tabs>
          <w:tab w:val="num" w:pos="3660"/>
        </w:tabs>
        <w:ind w:left="3660" w:hanging="360"/>
      </w:pPr>
      <w:rPr>
        <w:rFonts w:ascii="Courier New" w:hAnsi="Courier New" w:hint="default"/>
      </w:rPr>
    </w:lvl>
    <w:lvl w:ilvl="5" w:tplc="04260005" w:tentative="1">
      <w:start w:val="1"/>
      <w:numFmt w:val="bullet"/>
      <w:lvlText w:val=""/>
      <w:lvlJc w:val="left"/>
      <w:pPr>
        <w:tabs>
          <w:tab w:val="num" w:pos="4380"/>
        </w:tabs>
        <w:ind w:left="4380" w:hanging="360"/>
      </w:pPr>
      <w:rPr>
        <w:rFonts w:ascii="Wingdings" w:hAnsi="Wingdings" w:hint="default"/>
      </w:rPr>
    </w:lvl>
    <w:lvl w:ilvl="6" w:tplc="04260001" w:tentative="1">
      <w:start w:val="1"/>
      <w:numFmt w:val="bullet"/>
      <w:lvlText w:val=""/>
      <w:lvlJc w:val="left"/>
      <w:pPr>
        <w:tabs>
          <w:tab w:val="num" w:pos="5100"/>
        </w:tabs>
        <w:ind w:left="5100" w:hanging="360"/>
      </w:pPr>
      <w:rPr>
        <w:rFonts w:ascii="Symbol" w:hAnsi="Symbol" w:hint="default"/>
      </w:rPr>
    </w:lvl>
    <w:lvl w:ilvl="7" w:tplc="04260003" w:tentative="1">
      <w:start w:val="1"/>
      <w:numFmt w:val="bullet"/>
      <w:lvlText w:val="o"/>
      <w:lvlJc w:val="left"/>
      <w:pPr>
        <w:tabs>
          <w:tab w:val="num" w:pos="5820"/>
        </w:tabs>
        <w:ind w:left="5820" w:hanging="360"/>
      </w:pPr>
      <w:rPr>
        <w:rFonts w:ascii="Courier New" w:hAnsi="Courier New" w:hint="default"/>
      </w:rPr>
    </w:lvl>
    <w:lvl w:ilvl="8" w:tplc="04260005" w:tentative="1">
      <w:start w:val="1"/>
      <w:numFmt w:val="bullet"/>
      <w:lvlText w:val=""/>
      <w:lvlJc w:val="left"/>
      <w:pPr>
        <w:tabs>
          <w:tab w:val="num" w:pos="6540"/>
        </w:tabs>
        <w:ind w:left="6540" w:hanging="360"/>
      </w:pPr>
      <w:rPr>
        <w:rFonts w:ascii="Wingdings" w:hAnsi="Wingdings" w:hint="default"/>
      </w:rPr>
    </w:lvl>
  </w:abstractNum>
  <w:abstractNum w:abstractNumId="18">
    <w:nsid w:val="6ED53BEB"/>
    <w:multiLevelType w:val="hybridMultilevel"/>
    <w:tmpl w:val="EE523DC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6F667A16"/>
    <w:multiLevelType w:val="hybridMultilevel"/>
    <w:tmpl w:val="3F167D5C"/>
    <w:lvl w:ilvl="0" w:tplc="536E27D4">
      <w:numFmt w:val="bullet"/>
      <w:lvlText w:val="–"/>
      <w:lvlJc w:val="left"/>
      <w:pPr>
        <w:tabs>
          <w:tab w:val="num" w:pos="420"/>
        </w:tabs>
        <w:ind w:left="420" w:hanging="360"/>
      </w:pPr>
      <w:rPr>
        <w:rFonts w:ascii="Times New Roman" w:eastAsia="Times New Roman" w:hAnsi="Times New Roman" w:hint="default"/>
      </w:rPr>
    </w:lvl>
    <w:lvl w:ilvl="1" w:tplc="04260003" w:tentative="1">
      <w:start w:val="1"/>
      <w:numFmt w:val="bullet"/>
      <w:lvlText w:val="o"/>
      <w:lvlJc w:val="left"/>
      <w:pPr>
        <w:tabs>
          <w:tab w:val="num" w:pos="1140"/>
        </w:tabs>
        <w:ind w:left="1140" w:hanging="360"/>
      </w:pPr>
      <w:rPr>
        <w:rFonts w:ascii="Courier New" w:hAnsi="Courier New" w:hint="default"/>
      </w:rPr>
    </w:lvl>
    <w:lvl w:ilvl="2" w:tplc="04260005" w:tentative="1">
      <w:start w:val="1"/>
      <w:numFmt w:val="bullet"/>
      <w:lvlText w:val=""/>
      <w:lvlJc w:val="left"/>
      <w:pPr>
        <w:tabs>
          <w:tab w:val="num" w:pos="1860"/>
        </w:tabs>
        <w:ind w:left="1860" w:hanging="360"/>
      </w:pPr>
      <w:rPr>
        <w:rFonts w:ascii="Wingdings" w:hAnsi="Wingdings" w:hint="default"/>
      </w:rPr>
    </w:lvl>
    <w:lvl w:ilvl="3" w:tplc="04260001" w:tentative="1">
      <w:start w:val="1"/>
      <w:numFmt w:val="bullet"/>
      <w:lvlText w:val=""/>
      <w:lvlJc w:val="left"/>
      <w:pPr>
        <w:tabs>
          <w:tab w:val="num" w:pos="2580"/>
        </w:tabs>
        <w:ind w:left="2580" w:hanging="360"/>
      </w:pPr>
      <w:rPr>
        <w:rFonts w:ascii="Symbol" w:hAnsi="Symbol" w:hint="default"/>
      </w:rPr>
    </w:lvl>
    <w:lvl w:ilvl="4" w:tplc="04260003" w:tentative="1">
      <w:start w:val="1"/>
      <w:numFmt w:val="bullet"/>
      <w:lvlText w:val="o"/>
      <w:lvlJc w:val="left"/>
      <w:pPr>
        <w:tabs>
          <w:tab w:val="num" w:pos="3300"/>
        </w:tabs>
        <w:ind w:left="3300" w:hanging="360"/>
      </w:pPr>
      <w:rPr>
        <w:rFonts w:ascii="Courier New" w:hAnsi="Courier New" w:hint="default"/>
      </w:rPr>
    </w:lvl>
    <w:lvl w:ilvl="5" w:tplc="04260005" w:tentative="1">
      <w:start w:val="1"/>
      <w:numFmt w:val="bullet"/>
      <w:lvlText w:val=""/>
      <w:lvlJc w:val="left"/>
      <w:pPr>
        <w:tabs>
          <w:tab w:val="num" w:pos="4020"/>
        </w:tabs>
        <w:ind w:left="4020" w:hanging="360"/>
      </w:pPr>
      <w:rPr>
        <w:rFonts w:ascii="Wingdings" w:hAnsi="Wingdings" w:hint="default"/>
      </w:rPr>
    </w:lvl>
    <w:lvl w:ilvl="6" w:tplc="04260001" w:tentative="1">
      <w:start w:val="1"/>
      <w:numFmt w:val="bullet"/>
      <w:lvlText w:val=""/>
      <w:lvlJc w:val="left"/>
      <w:pPr>
        <w:tabs>
          <w:tab w:val="num" w:pos="4740"/>
        </w:tabs>
        <w:ind w:left="4740" w:hanging="360"/>
      </w:pPr>
      <w:rPr>
        <w:rFonts w:ascii="Symbol" w:hAnsi="Symbol" w:hint="default"/>
      </w:rPr>
    </w:lvl>
    <w:lvl w:ilvl="7" w:tplc="04260003" w:tentative="1">
      <w:start w:val="1"/>
      <w:numFmt w:val="bullet"/>
      <w:lvlText w:val="o"/>
      <w:lvlJc w:val="left"/>
      <w:pPr>
        <w:tabs>
          <w:tab w:val="num" w:pos="5460"/>
        </w:tabs>
        <w:ind w:left="5460" w:hanging="360"/>
      </w:pPr>
      <w:rPr>
        <w:rFonts w:ascii="Courier New" w:hAnsi="Courier New" w:hint="default"/>
      </w:rPr>
    </w:lvl>
    <w:lvl w:ilvl="8" w:tplc="04260005" w:tentative="1">
      <w:start w:val="1"/>
      <w:numFmt w:val="bullet"/>
      <w:lvlText w:val=""/>
      <w:lvlJc w:val="left"/>
      <w:pPr>
        <w:tabs>
          <w:tab w:val="num" w:pos="6180"/>
        </w:tabs>
        <w:ind w:left="6180" w:hanging="360"/>
      </w:pPr>
      <w:rPr>
        <w:rFonts w:ascii="Wingdings" w:hAnsi="Wingdings" w:hint="default"/>
      </w:rPr>
    </w:lvl>
  </w:abstractNum>
  <w:abstractNum w:abstractNumId="20">
    <w:nsid w:val="702E67F3"/>
    <w:multiLevelType w:val="hybridMultilevel"/>
    <w:tmpl w:val="96F60ACA"/>
    <w:lvl w:ilvl="0" w:tplc="5C828408">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71267F86"/>
    <w:multiLevelType w:val="hybridMultilevel"/>
    <w:tmpl w:val="2312C322"/>
    <w:lvl w:ilvl="0" w:tplc="245A0416">
      <w:start w:val="1"/>
      <w:numFmt w:val="decimal"/>
      <w:lvlText w:val="%1."/>
      <w:lvlJc w:val="left"/>
      <w:pPr>
        <w:ind w:left="435" w:hanging="360"/>
      </w:pPr>
      <w:rPr>
        <w:rFonts w:cs="Times New Roman" w:hint="default"/>
      </w:rPr>
    </w:lvl>
    <w:lvl w:ilvl="1" w:tplc="04260019" w:tentative="1">
      <w:start w:val="1"/>
      <w:numFmt w:val="lowerLetter"/>
      <w:lvlText w:val="%2."/>
      <w:lvlJc w:val="left"/>
      <w:pPr>
        <w:ind w:left="1155" w:hanging="360"/>
      </w:pPr>
      <w:rPr>
        <w:rFonts w:cs="Times New Roman"/>
      </w:rPr>
    </w:lvl>
    <w:lvl w:ilvl="2" w:tplc="0426001B" w:tentative="1">
      <w:start w:val="1"/>
      <w:numFmt w:val="lowerRoman"/>
      <w:lvlText w:val="%3."/>
      <w:lvlJc w:val="right"/>
      <w:pPr>
        <w:ind w:left="1875" w:hanging="180"/>
      </w:pPr>
      <w:rPr>
        <w:rFonts w:cs="Times New Roman"/>
      </w:rPr>
    </w:lvl>
    <w:lvl w:ilvl="3" w:tplc="0426000F" w:tentative="1">
      <w:start w:val="1"/>
      <w:numFmt w:val="decimal"/>
      <w:lvlText w:val="%4."/>
      <w:lvlJc w:val="left"/>
      <w:pPr>
        <w:ind w:left="2595" w:hanging="360"/>
      </w:pPr>
      <w:rPr>
        <w:rFonts w:cs="Times New Roman"/>
      </w:rPr>
    </w:lvl>
    <w:lvl w:ilvl="4" w:tplc="04260019" w:tentative="1">
      <w:start w:val="1"/>
      <w:numFmt w:val="lowerLetter"/>
      <w:lvlText w:val="%5."/>
      <w:lvlJc w:val="left"/>
      <w:pPr>
        <w:ind w:left="3315" w:hanging="360"/>
      </w:pPr>
      <w:rPr>
        <w:rFonts w:cs="Times New Roman"/>
      </w:rPr>
    </w:lvl>
    <w:lvl w:ilvl="5" w:tplc="0426001B" w:tentative="1">
      <w:start w:val="1"/>
      <w:numFmt w:val="lowerRoman"/>
      <w:lvlText w:val="%6."/>
      <w:lvlJc w:val="right"/>
      <w:pPr>
        <w:ind w:left="4035" w:hanging="180"/>
      </w:pPr>
      <w:rPr>
        <w:rFonts w:cs="Times New Roman"/>
      </w:rPr>
    </w:lvl>
    <w:lvl w:ilvl="6" w:tplc="0426000F" w:tentative="1">
      <w:start w:val="1"/>
      <w:numFmt w:val="decimal"/>
      <w:lvlText w:val="%7."/>
      <w:lvlJc w:val="left"/>
      <w:pPr>
        <w:ind w:left="4755" w:hanging="360"/>
      </w:pPr>
      <w:rPr>
        <w:rFonts w:cs="Times New Roman"/>
      </w:rPr>
    </w:lvl>
    <w:lvl w:ilvl="7" w:tplc="04260019" w:tentative="1">
      <w:start w:val="1"/>
      <w:numFmt w:val="lowerLetter"/>
      <w:lvlText w:val="%8."/>
      <w:lvlJc w:val="left"/>
      <w:pPr>
        <w:ind w:left="5475" w:hanging="360"/>
      </w:pPr>
      <w:rPr>
        <w:rFonts w:cs="Times New Roman"/>
      </w:rPr>
    </w:lvl>
    <w:lvl w:ilvl="8" w:tplc="0426001B" w:tentative="1">
      <w:start w:val="1"/>
      <w:numFmt w:val="lowerRoman"/>
      <w:lvlText w:val="%9."/>
      <w:lvlJc w:val="right"/>
      <w:pPr>
        <w:ind w:left="6195" w:hanging="180"/>
      </w:pPr>
      <w:rPr>
        <w:rFonts w:cs="Times New Roman"/>
      </w:rPr>
    </w:lvl>
  </w:abstractNum>
  <w:abstractNum w:abstractNumId="22">
    <w:nsid w:val="763E7F76"/>
    <w:multiLevelType w:val="hybridMultilevel"/>
    <w:tmpl w:val="64B02F00"/>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3">
    <w:nsid w:val="7F2159D2"/>
    <w:multiLevelType w:val="hybridMultilevel"/>
    <w:tmpl w:val="CF9E7DA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7"/>
  </w:num>
  <w:num w:numId="2">
    <w:abstractNumId w:val="19"/>
  </w:num>
  <w:num w:numId="3">
    <w:abstractNumId w:val="12"/>
  </w:num>
  <w:num w:numId="4">
    <w:abstractNumId w:val="8"/>
  </w:num>
  <w:num w:numId="5">
    <w:abstractNumId w:val="13"/>
  </w:num>
  <w:num w:numId="6">
    <w:abstractNumId w:val="11"/>
  </w:num>
  <w:num w:numId="7">
    <w:abstractNumId w:val="15"/>
  </w:num>
  <w:num w:numId="8">
    <w:abstractNumId w:val="5"/>
  </w:num>
  <w:num w:numId="9">
    <w:abstractNumId w:val="21"/>
  </w:num>
  <w:num w:numId="10">
    <w:abstractNumId w:val="22"/>
  </w:num>
  <w:num w:numId="11">
    <w:abstractNumId w:val="0"/>
  </w:num>
  <w:num w:numId="12">
    <w:abstractNumId w:val="18"/>
  </w:num>
  <w:num w:numId="13">
    <w:abstractNumId w:val="23"/>
  </w:num>
  <w:num w:numId="14">
    <w:abstractNumId w:val="9"/>
  </w:num>
  <w:num w:numId="15">
    <w:abstractNumId w:val="20"/>
  </w:num>
  <w:num w:numId="16">
    <w:abstractNumId w:val="7"/>
  </w:num>
  <w:num w:numId="17">
    <w:abstractNumId w:val="1"/>
  </w:num>
  <w:num w:numId="18">
    <w:abstractNumId w:val="14"/>
  </w:num>
  <w:num w:numId="19">
    <w:abstractNumId w:val="2"/>
  </w:num>
  <w:num w:numId="20">
    <w:abstractNumId w:val="16"/>
  </w:num>
  <w:num w:numId="21">
    <w:abstractNumId w:val="6"/>
  </w:num>
  <w:num w:numId="22">
    <w:abstractNumId w:val="3"/>
  </w:num>
  <w:num w:numId="23">
    <w:abstractNumId w:val="10"/>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D68"/>
    <w:rsid w:val="000009E7"/>
    <w:rsid w:val="000011F3"/>
    <w:rsid w:val="00001AEE"/>
    <w:rsid w:val="00001CE0"/>
    <w:rsid w:val="00003FFE"/>
    <w:rsid w:val="00004864"/>
    <w:rsid w:val="000052E6"/>
    <w:rsid w:val="00006166"/>
    <w:rsid w:val="00006422"/>
    <w:rsid w:val="0000660C"/>
    <w:rsid w:val="00006829"/>
    <w:rsid w:val="00007B96"/>
    <w:rsid w:val="0001308A"/>
    <w:rsid w:val="000135BD"/>
    <w:rsid w:val="00015387"/>
    <w:rsid w:val="000214A9"/>
    <w:rsid w:val="000229B3"/>
    <w:rsid w:val="00026776"/>
    <w:rsid w:val="00027A67"/>
    <w:rsid w:val="00030D4D"/>
    <w:rsid w:val="00044BBA"/>
    <w:rsid w:val="00046821"/>
    <w:rsid w:val="0004757A"/>
    <w:rsid w:val="000535D8"/>
    <w:rsid w:val="00053E57"/>
    <w:rsid w:val="000615C4"/>
    <w:rsid w:val="00073B4F"/>
    <w:rsid w:val="0007543F"/>
    <w:rsid w:val="00075F51"/>
    <w:rsid w:val="000779AF"/>
    <w:rsid w:val="00082BB9"/>
    <w:rsid w:val="00087454"/>
    <w:rsid w:val="00090D2B"/>
    <w:rsid w:val="00092258"/>
    <w:rsid w:val="000922E2"/>
    <w:rsid w:val="00093A4D"/>
    <w:rsid w:val="00093E2E"/>
    <w:rsid w:val="00093FA5"/>
    <w:rsid w:val="00096E9A"/>
    <w:rsid w:val="00097DDC"/>
    <w:rsid w:val="000A0380"/>
    <w:rsid w:val="000A271E"/>
    <w:rsid w:val="000A2D35"/>
    <w:rsid w:val="000A2FE1"/>
    <w:rsid w:val="000A7B3E"/>
    <w:rsid w:val="000B0FF7"/>
    <w:rsid w:val="000B462A"/>
    <w:rsid w:val="000B5A74"/>
    <w:rsid w:val="000C2F3B"/>
    <w:rsid w:val="000C4DC4"/>
    <w:rsid w:val="000C53A3"/>
    <w:rsid w:val="000C5C79"/>
    <w:rsid w:val="000C777C"/>
    <w:rsid w:val="000D1575"/>
    <w:rsid w:val="000D1CEF"/>
    <w:rsid w:val="000D3943"/>
    <w:rsid w:val="000D5243"/>
    <w:rsid w:val="000E3851"/>
    <w:rsid w:val="000E3CC9"/>
    <w:rsid w:val="000E7057"/>
    <w:rsid w:val="000F05D8"/>
    <w:rsid w:val="000F0DB7"/>
    <w:rsid w:val="000F149F"/>
    <w:rsid w:val="000F278C"/>
    <w:rsid w:val="000F3451"/>
    <w:rsid w:val="000F453D"/>
    <w:rsid w:val="001014CE"/>
    <w:rsid w:val="00104589"/>
    <w:rsid w:val="00104E35"/>
    <w:rsid w:val="001055A8"/>
    <w:rsid w:val="00111236"/>
    <w:rsid w:val="00120942"/>
    <w:rsid w:val="00120CCD"/>
    <w:rsid w:val="0012365A"/>
    <w:rsid w:val="00123DFE"/>
    <w:rsid w:val="00124155"/>
    <w:rsid w:val="00127789"/>
    <w:rsid w:val="00127958"/>
    <w:rsid w:val="00131040"/>
    <w:rsid w:val="00135286"/>
    <w:rsid w:val="00136FB1"/>
    <w:rsid w:val="00146EB1"/>
    <w:rsid w:val="00150AB6"/>
    <w:rsid w:val="00151BFA"/>
    <w:rsid w:val="0015391D"/>
    <w:rsid w:val="00162287"/>
    <w:rsid w:val="00162C57"/>
    <w:rsid w:val="00163804"/>
    <w:rsid w:val="0016439C"/>
    <w:rsid w:val="001702DD"/>
    <w:rsid w:val="00170C5F"/>
    <w:rsid w:val="001764FB"/>
    <w:rsid w:val="001771EA"/>
    <w:rsid w:val="00183A9E"/>
    <w:rsid w:val="00186CEA"/>
    <w:rsid w:val="00193D9D"/>
    <w:rsid w:val="001940F9"/>
    <w:rsid w:val="001973E2"/>
    <w:rsid w:val="001A75EC"/>
    <w:rsid w:val="001A787A"/>
    <w:rsid w:val="001B057B"/>
    <w:rsid w:val="001C0458"/>
    <w:rsid w:val="001C3C78"/>
    <w:rsid w:val="001C637F"/>
    <w:rsid w:val="001D062B"/>
    <w:rsid w:val="001D4247"/>
    <w:rsid w:val="001D4BD1"/>
    <w:rsid w:val="001E0714"/>
    <w:rsid w:val="001E1874"/>
    <w:rsid w:val="001E2496"/>
    <w:rsid w:val="001F28D1"/>
    <w:rsid w:val="001F2998"/>
    <w:rsid w:val="001F3D1B"/>
    <w:rsid w:val="001F68AE"/>
    <w:rsid w:val="00202AB0"/>
    <w:rsid w:val="0020382A"/>
    <w:rsid w:val="0020610B"/>
    <w:rsid w:val="00206327"/>
    <w:rsid w:val="00206FEF"/>
    <w:rsid w:val="00207059"/>
    <w:rsid w:val="0020799D"/>
    <w:rsid w:val="00212429"/>
    <w:rsid w:val="0021277C"/>
    <w:rsid w:val="00213E90"/>
    <w:rsid w:val="00214E1D"/>
    <w:rsid w:val="002200FE"/>
    <w:rsid w:val="002225DD"/>
    <w:rsid w:val="00226ACD"/>
    <w:rsid w:val="00227440"/>
    <w:rsid w:val="002325A9"/>
    <w:rsid w:val="00241A6C"/>
    <w:rsid w:val="002449C3"/>
    <w:rsid w:val="002454E1"/>
    <w:rsid w:val="00246AE5"/>
    <w:rsid w:val="002472E8"/>
    <w:rsid w:val="002549DF"/>
    <w:rsid w:val="00257991"/>
    <w:rsid w:val="00261A36"/>
    <w:rsid w:val="00261CAD"/>
    <w:rsid w:val="00263B0D"/>
    <w:rsid w:val="0026416E"/>
    <w:rsid w:val="00266A39"/>
    <w:rsid w:val="002672E8"/>
    <w:rsid w:val="002706A8"/>
    <w:rsid w:val="00273BF9"/>
    <w:rsid w:val="00275B77"/>
    <w:rsid w:val="002760A5"/>
    <w:rsid w:val="00277929"/>
    <w:rsid w:val="00277B15"/>
    <w:rsid w:val="00282C91"/>
    <w:rsid w:val="002837B8"/>
    <w:rsid w:val="002838AD"/>
    <w:rsid w:val="00293373"/>
    <w:rsid w:val="00295577"/>
    <w:rsid w:val="00295B3D"/>
    <w:rsid w:val="002A0348"/>
    <w:rsid w:val="002A42E0"/>
    <w:rsid w:val="002A5C0D"/>
    <w:rsid w:val="002A5D3E"/>
    <w:rsid w:val="002A74C6"/>
    <w:rsid w:val="002A77C3"/>
    <w:rsid w:val="002B10F0"/>
    <w:rsid w:val="002B6A37"/>
    <w:rsid w:val="002B75D0"/>
    <w:rsid w:val="002C29C8"/>
    <w:rsid w:val="002C661A"/>
    <w:rsid w:val="002C67A6"/>
    <w:rsid w:val="002C6F16"/>
    <w:rsid w:val="002D3E21"/>
    <w:rsid w:val="002E00A5"/>
    <w:rsid w:val="002E0B89"/>
    <w:rsid w:val="002E1FD3"/>
    <w:rsid w:val="002E208D"/>
    <w:rsid w:val="002E276D"/>
    <w:rsid w:val="002E3782"/>
    <w:rsid w:val="002F4C8E"/>
    <w:rsid w:val="002F62E6"/>
    <w:rsid w:val="002F78C8"/>
    <w:rsid w:val="00300D9E"/>
    <w:rsid w:val="00303B66"/>
    <w:rsid w:val="00303D6C"/>
    <w:rsid w:val="00307412"/>
    <w:rsid w:val="00311CA3"/>
    <w:rsid w:val="0031244F"/>
    <w:rsid w:val="00315E8E"/>
    <w:rsid w:val="00322D97"/>
    <w:rsid w:val="00323A72"/>
    <w:rsid w:val="00330A61"/>
    <w:rsid w:val="00330EE4"/>
    <w:rsid w:val="00333C34"/>
    <w:rsid w:val="003347B6"/>
    <w:rsid w:val="00336C3C"/>
    <w:rsid w:val="00340ED7"/>
    <w:rsid w:val="00342A3A"/>
    <w:rsid w:val="00351293"/>
    <w:rsid w:val="003530A6"/>
    <w:rsid w:val="00353792"/>
    <w:rsid w:val="00353AB3"/>
    <w:rsid w:val="003555C6"/>
    <w:rsid w:val="003613E8"/>
    <w:rsid w:val="0036232E"/>
    <w:rsid w:val="00363C59"/>
    <w:rsid w:val="00370D36"/>
    <w:rsid w:val="003765C7"/>
    <w:rsid w:val="00384A7B"/>
    <w:rsid w:val="003957A8"/>
    <w:rsid w:val="0039602C"/>
    <w:rsid w:val="003974A6"/>
    <w:rsid w:val="003A1E22"/>
    <w:rsid w:val="003B4BFD"/>
    <w:rsid w:val="003C0415"/>
    <w:rsid w:val="003C2A8C"/>
    <w:rsid w:val="003C324E"/>
    <w:rsid w:val="003C68FE"/>
    <w:rsid w:val="003C6A31"/>
    <w:rsid w:val="003C703E"/>
    <w:rsid w:val="003D2A40"/>
    <w:rsid w:val="003D2F1A"/>
    <w:rsid w:val="003D65F6"/>
    <w:rsid w:val="003E33C6"/>
    <w:rsid w:val="003E58D8"/>
    <w:rsid w:val="003E5A52"/>
    <w:rsid w:val="003E6238"/>
    <w:rsid w:val="003E632A"/>
    <w:rsid w:val="003F2095"/>
    <w:rsid w:val="003F22B9"/>
    <w:rsid w:val="003F38DC"/>
    <w:rsid w:val="003F4386"/>
    <w:rsid w:val="00400008"/>
    <w:rsid w:val="00404D29"/>
    <w:rsid w:val="00405305"/>
    <w:rsid w:val="0040695F"/>
    <w:rsid w:val="004077E9"/>
    <w:rsid w:val="004107B8"/>
    <w:rsid w:val="004119D0"/>
    <w:rsid w:val="0041311B"/>
    <w:rsid w:val="00413DD1"/>
    <w:rsid w:val="0041774F"/>
    <w:rsid w:val="004201BA"/>
    <w:rsid w:val="0042310F"/>
    <w:rsid w:val="004244F1"/>
    <w:rsid w:val="00425629"/>
    <w:rsid w:val="004338F2"/>
    <w:rsid w:val="00436287"/>
    <w:rsid w:val="0043651D"/>
    <w:rsid w:val="00437A20"/>
    <w:rsid w:val="0044046C"/>
    <w:rsid w:val="00442751"/>
    <w:rsid w:val="00445D7A"/>
    <w:rsid w:val="004511C9"/>
    <w:rsid w:val="00451553"/>
    <w:rsid w:val="004522BB"/>
    <w:rsid w:val="004529F3"/>
    <w:rsid w:val="00460E0A"/>
    <w:rsid w:val="00461C80"/>
    <w:rsid w:val="00466AC1"/>
    <w:rsid w:val="0047394C"/>
    <w:rsid w:val="00477836"/>
    <w:rsid w:val="00477AF6"/>
    <w:rsid w:val="004805F0"/>
    <w:rsid w:val="004806A8"/>
    <w:rsid w:val="00482326"/>
    <w:rsid w:val="00483462"/>
    <w:rsid w:val="00486570"/>
    <w:rsid w:val="0049032E"/>
    <w:rsid w:val="00491B86"/>
    <w:rsid w:val="00493337"/>
    <w:rsid w:val="004A017D"/>
    <w:rsid w:val="004A168B"/>
    <w:rsid w:val="004A58C8"/>
    <w:rsid w:val="004A649C"/>
    <w:rsid w:val="004B2A36"/>
    <w:rsid w:val="004B2F41"/>
    <w:rsid w:val="004C2C7E"/>
    <w:rsid w:val="004D3BEB"/>
    <w:rsid w:val="004D4A25"/>
    <w:rsid w:val="004E6899"/>
    <w:rsid w:val="004E7C54"/>
    <w:rsid w:val="004F0A53"/>
    <w:rsid w:val="00501BBB"/>
    <w:rsid w:val="005104F8"/>
    <w:rsid w:val="0051497A"/>
    <w:rsid w:val="005155D1"/>
    <w:rsid w:val="005160D6"/>
    <w:rsid w:val="0052188A"/>
    <w:rsid w:val="005255BB"/>
    <w:rsid w:val="00530846"/>
    <w:rsid w:val="00532716"/>
    <w:rsid w:val="005330AF"/>
    <w:rsid w:val="005335B2"/>
    <w:rsid w:val="00541739"/>
    <w:rsid w:val="00542526"/>
    <w:rsid w:val="00543909"/>
    <w:rsid w:val="00545019"/>
    <w:rsid w:val="00552300"/>
    <w:rsid w:val="00553F96"/>
    <w:rsid w:val="00556FC5"/>
    <w:rsid w:val="00563288"/>
    <w:rsid w:val="00563BD7"/>
    <w:rsid w:val="005703E8"/>
    <w:rsid w:val="00573747"/>
    <w:rsid w:val="00581480"/>
    <w:rsid w:val="00581DA3"/>
    <w:rsid w:val="00582D68"/>
    <w:rsid w:val="00583CCB"/>
    <w:rsid w:val="005924C7"/>
    <w:rsid w:val="005934AC"/>
    <w:rsid w:val="005952B5"/>
    <w:rsid w:val="0059605F"/>
    <w:rsid w:val="00596543"/>
    <w:rsid w:val="005972BD"/>
    <w:rsid w:val="005A08AA"/>
    <w:rsid w:val="005A0D6C"/>
    <w:rsid w:val="005A1B4A"/>
    <w:rsid w:val="005A6CF2"/>
    <w:rsid w:val="005B2CDF"/>
    <w:rsid w:val="005C2FFB"/>
    <w:rsid w:val="005C4930"/>
    <w:rsid w:val="005C6586"/>
    <w:rsid w:val="005C6CD6"/>
    <w:rsid w:val="005D086C"/>
    <w:rsid w:val="005D1CE0"/>
    <w:rsid w:val="005D20A3"/>
    <w:rsid w:val="005D272A"/>
    <w:rsid w:val="005E46B1"/>
    <w:rsid w:val="005E6D95"/>
    <w:rsid w:val="005F1D8F"/>
    <w:rsid w:val="005F26CB"/>
    <w:rsid w:val="005F369D"/>
    <w:rsid w:val="005F4685"/>
    <w:rsid w:val="005F5014"/>
    <w:rsid w:val="005F79CD"/>
    <w:rsid w:val="006009DC"/>
    <w:rsid w:val="00601007"/>
    <w:rsid w:val="006052D5"/>
    <w:rsid w:val="0061555A"/>
    <w:rsid w:val="006164FD"/>
    <w:rsid w:val="00621018"/>
    <w:rsid w:val="00626443"/>
    <w:rsid w:val="00633FAC"/>
    <w:rsid w:val="00634628"/>
    <w:rsid w:val="006348FC"/>
    <w:rsid w:val="00643510"/>
    <w:rsid w:val="00644A79"/>
    <w:rsid w:val="00644A96"/>
    <w:rsid w:val="00645FD8"/>
    <w:rsid w:val="0065174C"/>
    <w:rsid w:val="006525D4"/>
    <w:rsid w:val="00654880"/>
    <w:rsid w:val="00655092"/>
    <w:rsid w:val="00655DE5"/>
    <w:rsid w:val="0065743D"/>
    <w:rsid w:val="00660745"/>
    <w:rsid w:val="00660B26"/>
    <w:rsid w:val="006641C9"/>
    <w:rsid w:val="006679FD"/>
    <w:rsid w:val="00674356"/>
    <w:rsid w:val="006806E9"/>
    <w:rsid w:val="00683A92"/>
    <w:rsid w:val="00686F3D"/>
    <w:rsid w:val="00691CE3"/>
    <w:rsid w:val="006936BF"/>
    <w:rsid w:val="00693C73"/>
    <w:rsid w:val="006940F9"/>
    <w:rsid w:val="00694D91"/>
    <w:rsid w:val="00695B20"/>
    <w:rsid w:val="006A0ACC"/>
    <w:rsid w:val="006A4D97"/>
    <w:rsid w:val="006A5239"/>
    <w:rsid w:val="006A77C5"/>
    <w:rsid w:val="006B4571"/>
    <w:rsid w:val="006B59E2"/>
    <w:rsid w:val="006B5F50"/>
    <w:rsid w:val="006B774E"/>
    <w:rsid w:val="006C0BCF"/>
    <w:rsid w:val="006C35EF"/>
    <w:rsid w:val="006C4F62"/>
    <w:rsid w:val="006C6102"/>
    <w:rsid w:val="006C6650"/>
    <w:rsid w:val="006D3754"/>
    <w:rsid w:val="006D40A7"/>
    <w:rsid w:val="006D65CA"/>
    <w:rsid w:val="006E0EC4"/>
    <w:rsid w:val="006E0FF8"/>
    <w:rsid w:val="006E4B27"/>
    <w:rsid w:val="006E5C42"/>
    <w:rsid w:val="006E7204"/>
    <w:rsid w:val="006F0013"/>
    <w:rsid w:val="006F07CD"/>
    <w:rsid w:val="006F0AF8"/>
    <w:rsid w:val="006F3019"/>
    <w:rsid w:val="006F5494"/>
    <w:rsid w:val="00702B56"/>
    <w:rsid w:val="0070339B"/>
    <w:rsid w:val="00704236"/>
    <w:rsid w:val="007058A1"/>
    <w:rsid w:val="00706F00"/>
    <w:rsid w:val="00725FF2"/>
    <w:rsid w:val="00726B4A"/>
    <w:rsid w:val="00731239"/>
    <w:rsid w:val="00731382"/>
    <w:rsid w:val="007344AA"/>
    <w:rsid w:val="007349CA"/>
    <w:rsid w:val="00736DB3"/>
    <w:rsid w:val="0073738F"/>
    <w:rsid w:val="00740E09"/>
    <w:rsid w:val="007412E5"/>
    <w:rsid w:val="0074195C"/>
    <w:rsid w:val="00741F23"/>
    <w:rsid w:val="007436AB"/>
    <w:rsid w:val="00743DBA"/>
    <w:rsid w:val="0075375C"/>
    <w:rsid w:val="00755047"/>
    <w:rsid w:val="00755FD2"/>
    <w:rsid w:val="00756CE0"/>
    <w:rsid w:val="00762301"/>
    <w:rsid w:val="00766A94"/>
    <w:rsid w:val="00766E4F"/>
    <w:rsid w:val="00767818"/>
    <w:rsid w:val="007708FA"/>
    <w:rsid w:val="00775DC6"/>
    <w:rsid w:val="00780CE9"/>
    <w:rsid w:val="00783076"/>
    <w:rsid w:val="0078451C"/>
    <w:rsid w:val="0078524D"/>
    <w:rsid w:val="00785717"/>
    <w:rsid w:val="00792A7D"/>
    <w:rsid w:val="00793AEF"/>
    <w:rsid w:val="00795A11"/>
    <w:rsid w:val="007964D7"/>
    <w:rsid w:val="00797228"/>
    <w:rsid w:val="007A0E2C"/>
    <w:rsid w:val="007A3AFF"/>
    <w:rsid w:val="007A73E1"/>
    <w:rsid w:val="007B0C92"/>
    <w:rsid w:val="007B347A"/>
    <w:rsid w:val="007B3E44"/>
    <w:rsid w:val="007B4734"/>
    <w:rsid w:val="007B4B15"/>
    <w:rsid w:val="007B751B"/>
    <w:rsid w:val="007C0990"/>
    <w:rsid w:val="007C27FE"/>
    <w:rsid w:val="007C4634"/>
    <w:rsid w:val="007D1DFC"/>
    <w:rsid w:val="007D292F"/>
    <w:rsid w:val="007D3178"/>
    <w:rsid w:val="007D6A37"/>
    <w:rsid w:val="007E1407"/>
    <w:rsid w:val="007E2F9B"/>
    <w:rsid w:val="007E3328"/>
    <w:rsid w:val="007E7CEB"/>
    <w:rsid w:val="007F65FA"/>
    <w:rsid w:val="00800FA1"/>
    <w:rsid w:val="00801748"/>
    <w:rsid w:val="008019EA"/>
    <w:rsid w:val="00803273"/>
    <w:rsid w:val="00805822"/>
    <w:rsid w:val="00805F30"/>
    <w:rsid w:val="00811A29"/>
    <w:rsid w:val="008126C5"/>
    <w:rsid w:val="00814B42"/>
    <w:rsid w:val="00827833"/>
    <w:rsid w:val="00832B35"/>
    <w:rsid w:val="00833D78"/>
    <w:rsid w:val="00834089"/>
    <w:rsid w:val="00840BF1"/>
    <w:rsid w:val="008417C2"/>
    <w:rsid w:val="00842DCE"/>
    <w:rsid w:val="0084368C"/>
    <w:rsid w:val="00843AB8"/>
    <w:rsid w:val="008440CF"/>
    <w:rsid w:val="00844DB2"/>
    <w:rsid w:val="0085165F"/>
    <w:rsid w:val="00851FEE"/>
    <w:rsid w:val="0086105A"/>
    <w:rsid w:val="00861B1E"/>
    <w:rsid w:val="008626AE"/>
    <w:rsid w:val="008627B9"/>
    <w:rsid w:val="00863FC9"/>
    <w:rsid w:val="00864CD5"/>
    <w:rsid w:val="00866BC2"/>
    <w:rsid w:val="00872243"/>
    <w:rsid w:val="00873CC0"/>
    <w:rsid w:val="008754A5"/>
    <w:rsid w:val="008773B8"/>
    <w:rsid w:val="008773FA"/>
    <w:rsid w:val="00880410"/>
    <w:rsid w:val="00892D1D"/>
    <w:rsid w:val="0089465B"/>
    <w:rsid w:val="008A4A8C"/>
    <w:rsid w:val="008A5168"/>
    <w:rsid w:val="008A7C8F"/>
    <w:rsid w:val="008B2D7C"/>
    <w:rsid w:val="008B6B8B"/>
    <w:rsid w:val="008C0871"/>
    <w:rsid w:val="008C0B50"/>
    <w:rsid w:val="008C3E4F"/>
    <w:rsid w:val="008C6AB2"/>
    <w:rsid w:val="008C6CB8"/>
    <w:rsid w:val="008C6E9B"/>
    <w:rsid w:val="008D1831"/>
    <w:rsid w:val="008D680B"/>
    <w:rsid w:val="008D7D6F"/>
    <w:rsid w:val="008E60FC"/>
    <w:rsid w:val="008E73EC"/>
    <w:rsid w:val="008E75E9"/>
    <w:rsid w:val="008F1131"/>
    <w:rsid w:val="008F47B5"/>
    <w:rsid w:val="008F480C"/>
    <w:rsid w:val="008F652D"/>
    <w:rsid w:val="0090003F"/>
    <w:rsid w:val="009028CC"/>
    <w:rsid w:val="009078D0"/>
    <w:rsid w:val="0090794C"/>
    <w:rsid w:val="00907DFF"/>
    <w:rsid w:val="009107C6"/>
    <w:rsid w:val="00911807"/>
    <w:rsid w:val="009178E3"/>
    <w:rsid w:val="00931DE3"/>
    <w:rsid w:val="009340E8"/>
    <w:rsid w:val="00934617"/>
    <w:rsid w:val="009365B4"/>
    <w:rsid w:val="009373D8"/>
    <w:rsid w:val="00937AB7"/>
    <w:rsid w:val="00940E83"/>
    <w:rsid w:val="00942EC5"/>
    <w:rsid w:val="00946DC8"/>
    <w:rsid w:val="009477E0"/>
    <w:rsid w:val="009519D4"/>
    <w:rsid w:val="0095398B"/>
    <w:rsid w:val="009542FE"/>
    <w:rsid w:val="009546CD"/>
    <w:rsid w:val="00961764"/>
    <w:rsid w:val="00964FCD"/>
    <w:rsid w:val="00975CA0"/>
    <w:rsid w:val="00976014"/>
    <w:rsid w:val="00982053"/>
    <w:rsid w:val="00995629"/>
    <w:rsid w:val="00996440"/>
    <w:rsid w:val="00997844"/>
    <w:rsid w:val="009A0CA6"/>
    <w:rsid w:val="009A149B"/>
    <w:rsid w:val="009A1D70"/>
    <w:rsid w:val="009A7547"/>
    <w:rsid w:val="009B0158"/>
    <w:rsid w:val="009C1197"/>
    <w:rsid w:val="009C5E13"/>
    <w:rsid w:val="009C70CF"/>
    <w:rsid w:val="009C7402"/>
    <w:rsid w:val="009C7BA8"/>
    <w:rsid w:val="009E0B60"/>
    <w:rsid w:val="009E2178"/>
    <w:rsid w:val="009E2544"/>
    <w:rsid w:val="009E3294"/>
    <w:rsid w:val="009E3B59"/>
    <w:rsid w:val="009E52D6"/>
    <w:rsid w:val="009F2E07"/>
    <w:rsid w:val="009F37AC"/>
    <w:rsid w:val="009F3AA3"/>
    <w:rsid w:val="00A007F3"/>
    <w:rsid w:val="00A0236E"/>
    <w:rsid w:val="00A139D0"/>
    <w:rsid w:val="00A238C1"/>
    <w:rsid w:val="00A24002"/>
    <w:rsid w:val="00A32D7E"/>
    <w:rsid w:val="00A33C68"/>
    <w:rsid w:val="00A365A8"/>
    <w:rsid w:val="00A40937"/>
    <w:rsid w:val="00A41909"/>
    <w:rsid w:val="00A4244E"/>
    <w:rsid w:val="00A47916"/>
    <w:rsid w:val="00A52407"/>
    <w:rsid w:val="00A5638D"/>
    <w:rsid w:val="00A6060C"/>
    <w:rsid w:val="00A60961"/>
    <w:rsid w:val="00A675E7"/>
    <w:rsid w:val="00A72E5F"/>
    <w:rsid w:val="00A737F6"/>
    <w:rsid w:val="00A76861"/>
    <w:rsid w:val="00A76FF7"/>
    <w:rsid w:val="00A85AA0"/>
    <w:rsid w:val="00A871BF"/>
    <w:rsid w:val="00A871CC"/>
    <w:rsid w:val="00A90485"/>
    <w:rsid w:val="00A920C4"/>
    <w:rsid w:val="00A931F8"/>
    <w:rsid w:val="00A950C5"/>
    <w:rsid w:val="00AA382C"/>
    <w:rsid w:val="00AA75EA"/>
    <w:rsid w:val="00AB7779"/>
    <w:rsid w:val="00AC4925"/>
    <w:rsid w:val="00AC6691"/>
    <w:rsid w:val="00AD0C22"/>
    <w:rsid w:val="00AD6F5F"/>
    <w:rsid w:val="00AE020E"/>
    <w:rsid w:val="00AE1C09"/>
    <w:rsid w:val="00AE4BFD"/>
    <w:rsid w:val="00AF2D14"/>
    <w:rsid w:val="00AF5468"/>
    <w:rsid w:val="00AF7C97"/>
    <w:rsid w:val="00B00B39"/>
    <w:rsid w:val="00B0730C"/>
    <w:rsid w:val="00B07EE0"/>
    <w:rsid w:val="00B12766"/>
    <w:rsid w:val="00B12CC0"/>
    <w:rsid w:val="00B21E27"/>
    <w:rsid w:val="00B22563"/>
    <w:rsid w:val="00B234CC"/>
    <w:rsid w:val="00B23F5B"/>
    <w:rsid w:val="00B2583D"/>
    <w:rsid w:val="00B25E6C"/>
    <w:rsid w:val="00B3375C"/>
    <w:rsid w:val="00B35A8C"/>
    <w:rsid w:val="00B36A9A"/>
    <w:rsid w:val="00B41DF1"/>
    <w:rsid w:val="00B470E1"/>
    <w:rsid w:val="00B47413"/>
    <w:rsid w:val="00B50F33"/>
    <w:rsid w:val="00B510C4"/>
    <w:rsid w:val="00B51A43"/>
    <w:rsid w:val="00B52518"/>
    <w:rsid w:val="00B52556"/>
    <w:rsid w:val="00B5405B"/>
    <w:rsid w:val="00B5469A"/>
    <w:rsid w:val="00B55BEB"/>
    <w:rsid w:val="00B57AFA"/>
    <w:rsid w:val="00B61EF9"/>
    <w:rsid w:val="00B66C58"/>
    <w:rsid w:val="00B67226"/>
    <w:rsid w:val="00B67EA8"/>
    <w:rsid w:val="00B70181"/>
    <w:rsid w:val="00B722FE"/>
    <w:rsid w:val="00B727EE"/>
    <w:rsid w:val="00B732AA"/>
    <w:rsid w:val="00B8176A"/>
    <w:rsid w:val="00B87430"/>
    <w:rsid w:val="00B91B67"/>
    <w:rsid w:val="00BA1FD8"/>
    <w:rsid w:val="00BA50FE"/>
    <w:rsid w:val="00BA623B"/>
    <w:rsid w:val="00BA7EB2"/>
    <w:rsid w:val="00BB0A82"/>
    <w:rsid w:val="00BB15DE"/>
    <w:rsid w:val="00BB36B2"/>
    <w:rsid w:val="00BB4256"/>
    <w:rsid w:val="00BB521D"/>
    <w:rsid w:val="00BC11CA"/>
    <w:rsid w:val="00BC194D"/>
    <w:rsid w:val="00BC66BB"/>
    <w:rsid w:val="00BD406B"/>
    <w:rsid w:val="00BD48E7"/>
    <w:rsid w:val="00BD660E"/>
    <w:rsid w:val="00BD67CE"/>
    <w:rsid w:val="00BD6EED"/>
    <w:rsid w:val="00BD72A2"/>
    <w:rsid w:val="00BE1E5B"/>
    <w:rsid w:val="00BE2FFA"/>
    <w:rsid w:val="00BE506A"/>
    <w:rsid w:val="00BF04FD"/>
    <w:rsid w:val="00BF0968"/>
    <w:rsid w:val="00BF273A"/>
    <w:rsid w:val="00C04243"/>
    <w:rsid w:val="00C04B93"/>
    <w:rsid w:val="00C14E0A"/>
    <w:rsid w:val="00C159EE"/>
    <w:rsid w:val="00C15A16"/>
    <w:rsid w:val="00C1785E"/>
    <w:rsid w:val="00C21097"/>
    <w:rsid w:val="00C21639"/>
    <w:rsid w:val="00C21A22"/>
    <w:rsid w:val="00C237A1"/>
    <w:rsid w:val="00C265A7"/>
    <w:rsid w:val="00C27343"/>
    <w:rsid w:val="00C3079E"/>
    <w:rsid w:val="00C325FD"/>
    <w:rsid w:val="00C32937"/>
    <w:rsid w:val="00C40595"/>
    <w:rsid w:val="00C4181C"/>
    <w:rsid w:val="00C426C3"/>
    <w:rsid w:val="00C46FF8"/>
    <w:rsid w:val="00C47CD4"/>
    <w:rsid w:val="00C50883"/>
    <w:rsid w:val="00C51BB3"/>
    <w:rsid w:val="00C55A4E"/>
    <w:rsid w:val="00C57FC8"/>
    <w:rsid w:val="00C623E1"/>
    <w:rsid w:val="00C64099"/>
    <w:rsid w:val="00C64A5C"/>
    <w:rsid w:val="00C656CA"/>
    <w:rsid w:val="00C669E8"/>
    <w:rsid w:val="00C67103"/>
    <w:rsid w:val="00C701BF"/>
    <w:rsid w:val="00C76E2A"/>
    <w:rsid w:val="00C81D9F"/>
    <w:rsid w:val="00C83960"/>
    <w:rsid w:val="00C941F2"/>
    <w:rsid w:val="00C9781C"/>
    <w:rsid w:val="00CA6D3C"/>
    <w:rsid w:val="00CB2331"/>
    <w:rsid w:val="00CB2942"/>
    <w:rsid w:val="00CB38BD"/>
    <w:rsid w:val="00CB4493"/>
    <w:rsid w:val="00CB6922"/>
    <w:rsid w:val="00CC0158"/>
    <w:rsid w:val="00CC5DFC"/>
    <w:rsid w:val="00CC67D3"/>
    <w:rsid w:val="00CC6EAF"/>
    <w:rsid w:val="00CC7DD5"/>
    <w:rsid w:val="00CD0229"/>
    <w:rsid w:val="00CD2685"/>
    <w:rsid w:val="00CD5B07"/>
    <w:rsid w:val="00CD702F"/>
    <w:rsid w:val="00CE310F"/>
    <w:rsid w:val="00CF4562"/>
    <w:rsid w:val="00D067CE"/>
    <w:rsid w:val="00D10335"/>
    <w:rsid w:val="00D14B75"/>
    <w:rsid w:val="00D16406"/>
    <w:rsid w:val="00D20EB8"/>
    <w:rsid w:val="00D23660"/>
    <w:rsid w:val="00D23FD3"/>
    <w:rsid w:val="00D263E2"/>
    <w:rsid w:val="00D31344"/>
    <w:rsid w:val="00D34F12"/>
    <w:rsid w:val="00D3756A"/>
    <w:rsid w:val="00D37D39"/>
    <w:rsid w:val="00D536C2"/>
    <w:rsid w:val="00D53D72"/>
    <w:rsid w:val="00D5597B"/>
    <w:rsid w:val="00D6381D"/>
    <w:rsid w:val="00D7120A"/>
    <w:rsid w:val="00D748FE"/>
    <w:rsid w:val="00D7640D"/>
    <w:rsid w:val="00D77612"/>
    <w:rsid w:val="00D816B4"/>
    <w:rsid w:val="00D864A4"/>
    <w:rsid w:val="00D90F22"/>
    <w:rsid w:val="00D9135E"/>
    <w:rsid w:val="00D94CA6"/>
    <w:rsid w:val="00D953EE"/>
    <w:rsid w:val="00D95D65"/>
    <w:rsid w:val="00DA02B4"/>
    <w:rsid w:val="00DA3BC2"/>
    <w:rsid w:val="00DA4431"/>
    <w:rsid w:val="00DB073B"/>
    <w:rsid w:val="00DB3EC4"/>
    <w:rsid w:val="00DB5358"/>
    <w:rsid w:val="00DB592C"/>
    <w:rsid w:val="00DC0178"/>
    <w:rsid w:val="00DC192F"/>
    <w:rsid w:val="00DC49F4"/>
    <w:rsid w:val="00DC5F9C"/>
    <w:rsid w:val="00DC7ED9"/>
    <w:rsid w:val="00DD126A"/>
    <w:rsid w:val="00DD4C55"/>
    <w:rsid w:val="00DD5BE8"/>
    <w:rsid w:val="00DE1C48"/>
    <w:rsid w:val="00DE2B70"/>
    <w:rsid w:val="00DE43F9"/>
    <w:rsid w:val="00DE581E"/>
    <w:rsid w:val="00DE7BC9"/>
    <w:rsid w:val="00DF02ED"/>
    <w:rsid w:val="00DF6ECD"/>
    <w:rsid w:val="00DF74B1"/>
    <w:rsid w:val="00E054EC"/>
    <w:rsid w:val="00E0664E"/>
    <w:rsid w:val="00E07DE9"/>
    <w:rsid w:val="00E202AF"/>
    <w:rsid w:val="00E21D35"/>
    <w:rsid w:val="00E226F0"/>
    <w:rsid w:val="00E32688"/>
    <w:rsid w:val="00E341C3"/>
    <w:rsid w:val="00E34598"/>
    <w:rsid w:val="00E34F1D"/>
    <w:rsid w:val="00E34F30"/>
    <w:rsid w:val="00E354C1"/>
    <w:rsid w:val="00E36842"/>
    <w:rsid w:val="00E45A78"/>
    <w:rsid w:val="00E47660"/>
    <w:rsid w:val="00E47EEF"/>
    <w:rsid w:val="00E50672"/>
    <w:rsid w:val="00E520AC"/>
    <w:rsid w:val="00E56D58"/>
    <w:rsid w:val="00E576D0"/>
    <w:rsid w:val="00E57A09"/>
    <w:rsid w:val="00E718B8"/>
    <w:rsid w:val="00E7228C"/>
    <w:rsid w:val="00E72C9C"/>
    <w:rsid w:val="00E735F3"/>
    <w:rsid w:val="00E73E75"/>
    <w:rsid w:val="00E776E8"/>
    <w:rsid w:val="00E80586"/>
    <w:rsid w:val="00E81087"/>
    <w:rsid w:val="00E916AF"/>
    <w:rsid w:val="00E94B21"/>
    <w:rsid w:val="00E955A5"/>
    <w:rsid w:val="00E95A57"/>
    <w:rsid w:val="00E95F7B"/>
    <w:rsid w:val="00E96883"/>
    <w:rsid w:val="00EA1BAD"/>
    <w:rsid w:val="00EA1D39"/>
    <w:rsid w:val="00EA6F07"/>
    <w:rsid w:val="00EB192E"/>
    <w:rsid w:val="00EB19B2"/>
    <w:rsid w:val="00EB72C2"/>
    <w:rsid w:val="00EB7734"/>
    <w:rsid w:val="00EC0207"/>
    <w:rsid w:val="00EC02C1"/>
    <w:rsid w:val="00EC1BE9"/>
    <w:rsid w:val="00EC498C"/>
    <w:rsid w:val="00EC6505"/>
    <w:rsid w:val="00EC7A47"/>
    <w:rsid w:val="00EC7B0C"/>
    <w:rsid w:val="00ED111C"/>
    <w:rsid w:val="00ED6049"/>
    <w:rsid w:val="00EE0EE0"/>
    <w:rsid w:val="00EE1BDB"/>
    <w:rsid w:val="00EE77F1"/>
    <w:rsid w:val="00EE77FE"/>
    <w:rsid w:val="00EF1822"/>
    <w:rsid w:val="00EF23A0"/>
    <w:rsid w:val="00EF309E"/>
    <w:rsid w:val="00EF4AE5"/>
    <w:rsid w:val="00EF531E"/>
    <w:rsid w:val="00EF6FB1"/>
    <w:rsid w:val="00F0679C"/>
    <w:rsid w:val="00F06C92"/>
    <w:rsid w:val="00F117C1"/>
    <w:rsid w:val="00F14ABB"/>
    <w:rsid w:val="00F2108A"/>
    <w:rsid w:val="00F2159D"/>
    <w:rsid w:val="00F24653"/>
    <w:rsid w:val="00F25E7B"/>
    <w:rsid w:val="00F332D4"/>
    <w:rsid w:val="00F3599D"/>
    <w:rsid w:val="00F40279"/>
    <w:rsid w:val="00F4199D"/>
    <w:rsid w:val="00F43614"/>
    <w:rsid w:val="00F450F6"/>
    <w:rsid w:val="00F45598"/>
    <w:rsid w:val="00F51A01"/>
    <w:rsid w:val="00F534F7"/>
    <w:rsid w:val="00F57C60"/>
    <w:rsid w:val="00F60BB8"/>
    <w:rsid w:val="00F617C1"/>
    <w:rsid w:val="00F62CEF"/>
    <w:rsid w:val="00F63935"/>
    <w:rsid w:val="00F647CF"/>
    <w:rsid w:val="00F66E8D"/>
    <w:rsid w:val="00F70139"/>
    <w:rsid w:val="00F7028F"/>
    <w:rsid w:val="00F76382"/>
    <w:rsid w:val="00F76A8B"/>
    <w:rsid w:val="00F77BDF"/>
    <w:rsid w:val="00F77C7D"/>
    <w:rsid w:val="00F80F1D"/>
    <w:rsid w:val="00F8199C"/>
    <w:rsid w:val="00F8273B"/>
    <w:rsid w:val="00F83A0E"/>
    <w:rsid w:val="00F84A1B"/>
    <w:rsid w:val="00F84B74"/>
    <w:rsid w:val="00F9017E"/>
    <w:rsid w:val="00F91E28"/>
    <w:rsid w:val="00F92187"/>
    <w:rsid w:val="00F931AF"/>
    <w:rsid w:val="00F939EA"/>
    <w:rsid w:val="00F9798C"/>
    <w:rsid w:val="00FA16B1"/>
    <w:rsid w:val="00FB45F7"/>
    <w:rsid w:val="00FB4E1F"/>
    <w:rsid w:val="00FB5359"/>
    <w:rsid w:val="00FB53E7"/>
    <w:rsid w:val="00FC2EE6"/>
    <w:rsid w:val="00FC3575"/>
    <w:rsid w:val="00FC64D3"/>
    <w:rsid w:val="00FD17DB"/>
    <w:rsid w:val="00FD3702"/>
    <w:rsid w:val="00FD46BD"/>
    <w:rsid w:val="00FD696B"/>
    <w:rsid w:val="00FD6978"/>
    <w:rsid w:val="00FE4634"/>
    <w:rsid w:val="00FE47AF"/>
    <w:rsid w:val="00FE7B1A"/>
    <w:rsid w:val="00FF0237"/>
    <w:rsid w:val="00FF187C"/>
    <w:rsid w:val="00FF30F7"/>
    <w:rsid w:val="00FF718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2D68"/>
    <w:rPr>
      <w:sz w:val="24"/>
      <w:szCs w:val="24"/>
    </w:rPr>
  </w:style>
  <w:style w:type="paragraph" w:styleId="Heading1">
    <w:name w:val="heading 1"/>
    <w:basedOn w:val="Normal"/>
    <w:next w:val="Normal"/>
    <w:link w:val="Heading1Char"/>
    <w:uiPriority w:val="9"/>
    <w:qFormat/>
    <w:rsid w:val="00766A94"/>
    <w:pPr>
      <w:keepNext/>
      <w:spacing w:before="240" w:after="60"/>
      <w:jc w:val="both"/>
      <w:outlineLvl w:val="0"/>
    </w:pPr>
    <w:rPr>
      <w:rFonts w:ascii="Arial" w:hAnsi="Arial" w:cs="Arial"/>
      <w:b/>
      <w:bCs/>
      <w:kern w:val="32"/>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766A94"/>
    <w:rPr>
      <w:rFonts w:ascii="Arial" w:hAnsi="Arial" w:cs="Arial"/>
      <w:b/>
      <w:bCs/>
      <w:kern w:val="32"/>
      <w:sz w:val="32"/>
      <w:szCs w:val="32"/>
      <w:lang w:eastAsia="en-US"/>
    </w:rPr>
  </w:style>
  <w:style w:type="paragraph" w:styleId="Header">
    <w:name w:val="header"/>
    <w:basedOn w:val="Normal"/>
    <w:link w:val="HeaderChar"/>
    <w:uiPriority w:val="99"/>
    <w:rsid w:val="00582D68"/>
    <w:pPr>
      <w:tabs>
        <w:tab w:val="center" w:pos="4153"/>
        <w:tab w:val="right" w:pos="8306"/>
      </w:tabs>
    </w:pPr>
  </w:style>
  <w:style w:type="character" w:customStyle="1" w:styleId="HeaderChar">
    <w:name w:val="Header Char"/>
    <w:link w:val="Header"/>
    <w:uiPriority w:val="99"/>
    <w:semiHidden/>
    <w:locked/>
    <w:rPr>
      <w:rFonts w:cs="Times New Roman"/>
      <w:sz w:val="24"/>
      <w:szCs w:val="24"/>
      <w:lang w:val="lv-LV" w:eastAsia="lv-LV"/>
    </w:rPr>
  </w:style>
  <w:style w:type="character" w:styleId="PageNumber">
    <w:name w:val="page number"/>
    <w:uiPriority w:val="99"/>
    <w:rsid w:val="00582D68"/>
    <w:rPr>
      <w:rFonts w:cs="Times New Roman"/>
    </w:rPr>
  </w:style>
  <w:style w:type="paragraph" w:customStyle="1" w:styleId="naisf">
    <w:name w:val="naisf"/>
    <w:basedOn w:val="Normal"/>
    <w:uiPriority w:val="99"/>
    <w:rsid w:val="00582D68"/>
    <w:pPr>
      <w:spacing w:before="75" w:after="75"/>
      <w:ind w:firstLine="375"/>
      <w:jc w:val="both"/>
    </w:pPr>
  </w:style>
  <w:style w:type="paragraph" w:customStyle="1" w:styleId="naisnod">
    <w:name w:val="naisnod"/>
    <w:basedOn w:val="Normal"/>
    <w:uiPriority w:val="99"/>
    <w:rsid w:val="00582D68"/>
    <w:pPr>
      <w:spacing w:before="150" w:after="150"/>
      <w:jc w:val="center"/>
    </w:pPr>
    <w:rPr>
      <w:b/>
      <w:bCs/>
    </w:rPr>
  </w:style>
  <w:style w:type="paragraph" w:customStyle="1" w:styleId="naiskr">
    <w:name w:val="naiskr"/>
    <w:basedOn w:val="Normal"/>
    <w:uiPriority w:val="99"/>
    <w:rsid w:val="00582D68"/>
    <w:pPr>
      <w:spacing w:before="75" w:after="75"/>
    </w:pPr>
  </w:style>
  <w:style w:type="paragraph" w:customStyle="1" w:styleId="naisc">
    <w:name w:val="naisc"/>
    <w:basedOn w:val="Normal"/>
    <w:uiPriority w:val="99"/>
    <w:rsid w:val="00582D68"/>
    <w:pPr>
      <w:spacing w:before="75" w:after="75"/>
      <w:jc w:val="center"/>
    </w:pPr>
  </w:style>
  <w:style w:type="paragraph" w:styleId="FootnoteText">
    <w:name w:val="footnote text"/>
    <w:basedOn w:val="Normal"/>
    <w:link w:val="FootnoteTextChar"/>
    <w:uiPriority w:val="99"/>
    <w:semiHidden/>
    <w:rsid w:val="00582D68"/>
    <w:rPr>
      <w:sz w:val="20"/>
      <w:szCs w:val="20"/>
    </w:rPr>
  </w:style>
  <w:style w:type="character" w:customStyle="1" w:styleId="FootnoteTextChar">
    <w:name w:val="Footnote Text Char"/>
    <w:link w:val="FootnoteText"/>
    <w:uiPriority w:val="99"/>
    <w:semiHidden/>
    <w:locked/>
    <w:rPr>
      <w:rFonts w:cs="Times New Roman"/>
      <w:sz w:val="20"/>
      <w:szCs w:val="20"/>
      <w:lang w:val="lv-LV" w:eastAsia="lv-LV"/>
    </w:rPr>
  </w:style>
  <w:style w:type="paragraph" w:styleId="Footer">
    <w:name w:val="footer"/>
    <w:basedOn w:val="Normal"/>
    <w:link w:val="FooterChar"/>
    <w:uiPriority w:val="99"/>
    <w:rsid w:val="00582D68"/>
    <w:pPr>
      <w:tabs>
        <w:tab w:val="center" w:pos="4153"/>
        <w:tab w:val="right" w:pos="8306"/>
      </w:tabs>
    </w:pPr>
  </w:style>
  <w:style w:type="character" w:customStyle="1" w:styleId="FooterChar">
    <w:name w:val="Footer Char"/>
    <w:link w:val="Footer"/>
    <w:uiPriority w:val="99"/>
    <w:semiHidden/>
    <w:locked/>
    <w:rsid w:val="00582D68"/>
    <w:rPr>
      <w:rFonts w:cs="Times New Roman"/>
      <w:sz w:val="24"/>
      <w:szCs w:val="24"/>
      <w:lang w:val="lv-LV" w:eastAsia="lv-LV" w:bidi="ar-SA"/>
    </w:rPr>
  </w:style>
  <w:style w:type="character" w:styleId="Hyperlink">
    <w:name w:val="Hyperlink"/>
    <w:uiPriority w:val="99"/>
    <w:rsid w:val="00582D68"/>
    <w:rPr>
      <w:rFonts w:cs="Times New Roman"/>
      <w:color w:val="0000FF"/>
      <w:u w:val="single"/>
    </w:rPr>
  </w:style>
  <w:style w:type="paragraph" w:styleId="NormalWeb">
    <w:name w:val="Normal (Web)"/>
    <w:basedOn w:val="Normal"/>
    <w:uiPriority w:val="99"/>
    <w:rsid w:val="00582D68"/>
    <w:pPr>
      <w:spacing w:before="100" w:beforeAutospacing="1" w:after="100" w:afterAutospacing="1"/>
    </w:pPr>
  </w:style>
  <w:style w:type="paragraph" w:styleId="BodyTextIndent">
    <w:name w:val="Body Text Indent"/>
    <w:basedOn w:val="Normal"/>
    <w:link w:val="BodyTextIndentChar"/>
    <w:uiPriority w:val="99"/>
    <w:rsid w:val="000C2F3B"/>
    <w:pPr>
      <w:spacing w:after="120"/>
      <w:ind w:left="283"/>
    </w:pPr>
  </w:style>
  <w:style w:type="character" w:customStyle="1" w:styleId="BodyTextIndentChar">
    <w:name w:val="Body Text Indent Char"/>
    <w:link w:val="BodyTextIndent"/>
    <w:uiPriority w:val="99"/>
    <w:locked/>
    <w:rsid w:val="000C2F3B"/>
    <w:rPr>
      <w:rFonts w:cs="Times New Roman"/>
      <w:sz w:val="24"/>
      <w:szCs w:val="24"/>
      <w:lang w:val="lv-LV" w:eastAsia="lv-LV"/>
    </w:rPr>
  </w:style>
  <w:style w:type="paragraph" w:styleId="BodyText3">
    <w:name w:val="Body Text 3"/>
    <w:basedOn w:val="Normal"/>
    <w:link w:val="BodyText3Char"/>
    <w:uiPriority w:val="99"/>
    <w:unhideWhenUsed/>
    <w:rsid w:val="000C2F3B"/>
    <w:pPr>
      <w:spacing w:after="120"/>
    </w:pPr>
    <w:rPr>
      <w:sz w:val="16"/>
      <w:szCs w:val="16"/>
      <w:lang w:val="en-US" w:eastAsia="en-US"/>
    </w:rPr>
  </w:style>
  <w:style w:type="character" w:customStyle="1" w:styleId="BodyText3Char">
    <w:name w:val="Body Text 3 Char"/>
    <w:link w:val="BodyText3"/>
    <w:uiPriority w:val="99"/>
    <w:locked/>
    <w:rsid w:val="000C2F3B"/>
    <w:rPr>
      <w:rFonts w:cs="Times New Roman"/>
      <w:sz w:val="16"/>
      <w:szCs w:val="16"/>
    </w:rPr>
  </w:style>
  <w:style w:type="paragraph" w:customStyle="1" w:styleId="Default">
    <w:name w:val="Default"/>
    <w:rsid w:val="00766A94"/>
    <w:pPr>
      <w:autoSpaceDE w:val="0"/>
      <w:autoSpaceDN w:val="0"/>
      <w:adjustRightInd w:val="0"/>
    </w:pPr>
    <w:rPr>
      <w:rFonts w:ascii="EUAlbertina" w:hAnsi="EUAlbertina" w:cs="EUAlbertina"/>
      <w:color w:val="000000"/>
      <w:sz w:val="24"/>
      <w:szCs w:val="24"/>
    </w:rPr>
  </w:style>
  <w:style w:type="paragraph" w:styleId="BalloonText">
    <w:name w:val="Balloon Text"/>
    <w:basedOn w:val="Normal"/>
    <w:link w:val="BalloonTextChar"/>
    <w:uiPriority w:val="99"/>
    <w:semiHidden/>
    <w:unhideWhenUsed/>
    <w:rsid w:val="00655092"/>
    <w:rPr>
      <w:rFonts w:ascii="Tahoma" w:hAnsi="Tahoma" w:cs="Tahoma"/>
      <w:sz w:val="16"/>
      <w:szCs w:val="16"/>
    </w:rPr>
  </w:style>
  <w:style w:type="character" w:customStyle="1" w:styleId="BalloonTextChar">
    <w:name w:val="Balloon Text Char"/>
    <w:link w:val="BalloonText"/>
    <w:uiPriority w:val="99"/>
    <w:semiHidden/>
    <w:rsid w:val="00655092"/>
    <w:rPr>
      <w:rFonts w:ascii="Tahoma" w:hAnsi="Tahoma" w:cs="Tahoma"/>
      <w:sz w:val="16"/>
      <w:szCs w:val="16"/>
    </w:rPr>
  </w:style>
  <w:style w:type="character" w:styleId="CommentReference">
    <w:name w:val="annotation reference"/>
    <w:uiPriority w:val="99"/>
    <w:semiHidden/>
    <w:unhideWhenUsed/>
    <w:rsid w:val="008E75E9"/>
    <w:rPr>
      <w:sz w:val="16"/>
      <w:szCs w:val="16"/>
    </w:rPr>
  </w:style>
  <w:style w:type="paragraph" w:styleId="CommentText">
    <w:name w:val="annotation text"/>
    <w:basedOn w:val="Normal"/>
    <w:link w:val="CommentTextChar"/>
    <w:uiPriority w:val="99"/>
    <w:semiHidden/>
    <w:unhideWhenUsed/>
    <w:rsid w:val="008E75E9"/>
    <w:rPr>
      <w:sz w:val="20"/>
      <w:szCs w:val="20"/>
    </w:rPr>
  </w:style>
  <w:style w:type="character" w:customStyle="1" w:styleId="CommentTextChar">
    <w:name w:val="Comment Text Char"/>
    <w:basedOn w:val="DefaultParagraphFont"/>
    <w:link w:val="CommentText"/>
    <w:uiPriority w:val="99"/>
    <w:semiHidden/>
    <w:rsid w:val="008E75E9"/>
  </w:style>
  <w:style w:type="paragraph" w:styleId="CommentSubject">
    <w:name w:val="annotation subject"/>
    <w:basedOn w:val="CommentText"/>
    <w:next w:val="CommentText"/>
    <w:link w:val="CommentSubjectChar"/>
    <w:uiPriority w:val="99"/>
    <w:semiHidden/>
    <w:unhideWhenUsed/>
    <w:rsid w:val="008E75E9"/>
    <w:rPr>
      <w:b/>
      <w:bCs/>
    </w:rPr>
  </w:style>
  <w:style w:type="character" w:customStyle="1" w:styleId="CommentSubjectChar">
    <w:name w:val="Comment Subject Char"/>
    <w:link w:val="CommentSubject"/>
    <w:uiPriority w:val="99"/>
    <w:semiHidden/>
    <w:rsid w:val="008E75E9"/>
    <w:rPr>
      <w:b/>
      <w:bCs/>
    </w:rPr>
  </w:style>
  <w:style w:type="character" w:styleId="Emphasis">
    <w:name w:val="Emphasis"/>
    <w:uiPriority w:val="20"/>
    <w:qFormat/>
    <w:rsid w:val="00273BF9"/>
    <w:rPr>
      <w:i/>
      <w:iCs/>
    </w:rPr>
  </w:style>
  <w:style w:type="paragraph" w:styleId="ListParagraph">
    <w:name w:val="List Paragraph"/>
    <w:basedOn w:val="Normal"/>
    <w:uiPriority w:val="34"/>
    <w:qFormat/>
    <w:rsid w:val="005703E8"/>
    <w:pPr>
      <w:ind w:left="720"/>
      <w:contextualSpacing/>
    </w:pPr>
    <w:rPr>
      <w:lang w:val="en-GB" w:eastAsia="en-US"/>
    </w:rPr>
  </w:style>
  <w:style w:type="character" w:customStyle="1" w:styleId="2lmenisChar">
    <w:name w:val="2.līmenis Char"/>
    <w:basedOn w:val="DefaultParagraphFont"/>
    <w:link w:val="2lmenis"/>
    <w:uiPriority w:val="99"/>
    <w:locked/>
    <w:rsid w:val="000922E2"/>
    <w:rPr>
      <w:b/>
      <w:bCs/>
    </w:rPr>
  </w:style>
  <w:style w:type="paragraph" w:customStyle="1" w:styleId="2lmenis">
    <w:name w:val="2.līmenis"/>
    <w:basedOn w:val="Normal"/>
    <w:link w:val="2lmenisChar"/>
    <w:uiPriority w:val="99"/>
    <w:rsid w:val="000922E2"/>
    <w:pPr>
      <w:keepNext/>
      <w:spacing w:before="240" w:after="60"/>
      <w:ind w:left="720"/>
    </w:pPr>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2D68"/>
    <w:rPr>
      <w:sz w:val="24"/>
      <w:szCs w:val="24"/>
    </w:rPr>
  </w:style>
  <w:style w:type="paragraph" w:styleId="Heading1">
    <w:name w:val="heading 1"/>
    <w:basedOn w:val="Normal"/>
    <w:next w:val="Normal"/>
    <w:link w:val="Heading1Char"/>
    <w:uiPriority w:val="9"/>
    <w:qFormat/>
    <w:rsid w:val="00766A94"/>
    <w:pPr>
      <w:keepNext/>
      <w:spacing w:before="240" w:after="60"/>
      <w:jc w:val="both"/>
      <w:outlineLvl w:val="0"/>
    </w:pPr>
    <w:rPr>
      <w:rFonts w:ascii="Arial" w:hAnsi="Arial" w:cs="Arial"/>
      <w:b/>
      <w:bCs/>
      <w:kern w:val="32"/>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766A94"/>
    <w:rPr>
      <w:rFonts w:ascii="Arial" w:hAnsi="Arial" w:cs="Arial"/>
      <w:b/>
      <w:bCs/>
      <w:kern w:val="32"/>
      <w:sz w:val="32"/>
      <w:szCs w:val="32"/>
      <w:lang w:eastAsia="en-US"/>
    </w:rPr>
  </w:style>
  <w:style w:type="paragraph" w:styleId="Header">
    <w:name w:val="header"/>
    <w:basedOn w:val="Normal"/>
    <w:link w:val="HeaderChar"/>
    <w:uiPriority w:val="99"/>
    <w:rsid w:val="00582D68"/>
    <w:pPr>
      <w:tabs>
        <w:tab w:val="center" w:pos="4153"/>
        <w:tab w:val="right" w:pos="8306"/>
      </w:tabs>
    </w:pPr>
  </w:style>
  <w:style w:type="character" w:customStyle="1" w:styleId="HeaderChar">
    <w:name w:val="Header Char"/>
    <w:link w:val="Header"/>
    <w:uiPriority w:val="99"/>
    <w:semiHidden/>
    <w:locked/>
    <w:rPr>
      <w:rFonts w:cs="Times New Roman"/>
      <w:sz w:val="24"/>
      <w:szCs w:val="24"/>
      <w:lang w:val="lv-LV" w:eastAsia="lv-LV"/>
    </w:rPr>
  </w:style>
  <w:style w:type="character" w:styleId="PageNumber">
    <w:name w:val="page number"/>
    <w:uiPriority w:val="99"/>
    <w:rsid w:val="00582D68"/>
    <w:rPr>
      <w:rFonts w:cs="Times New Roman"/>
    </w:rPr>
  </w:style>
  <w:style w:type="paragraph" w:customStyle="1" w:styleId="naisf">
    <w:name w:val="naisf"/>
    <w:basedOn w:val="Normal"/>
    <w:uiPriority w:val="99"/>
    <w:rsid w:val="00582D68"/>
    <w:pPr>
      <w:spacing w:before="75" w:after="75"/>
      <w:ind w:firstLine="375"/>
      <w:jc w:val="both"/>
    </w:pPr>
  </w:style>
  <w:style w:type="paragraph" w:customStyle="1" w:styleId="naisnod">
    <w:name w:val="naisnod"/>
    <w:basedOn w:val="Normal"/>
    <w:uiPriority w:val="99"/>
    <w:rsid w:val="00582D68"/>
    <w:pPr>
      <w:spacing w:before="150" w:after="150"/>
      <w:jc w:val="center"/>
    </w:pPr>
    <w:rPr>
      <w:b/>
      <w:bCs/>
    </w:rPr>
  </w:style>
  <w:style w:type="paragraph" w:customStyle="1" w:styleId="naiskr">
    <w:name w:val="naiskr"/>
    <w:basedOn w:val="Normal"/>
    <w:uiPriority w:val="99"/>
    <w:rsid w:val="00582D68"/>
    <w:pPr>
      <w:spacing w:before="75" w:after="75"/>
    </w:pPr>
  </w:style>
  <w:style w:type="paragraph" w:customStyle="1" w:styleId="naisc">
    <w:name w:val="naisc"/>
    <w:basedOn w:val="Normal"/>
    <w:uiPriority w:val="99"/>
    <w:rsid w:val="00582D68"/>
    <w:pPr>
      <w:spacing w:before="75" w:after="75"/>
      <w:jc w:val="center"/>
    </w:pPr>
  </w:style>
  <w:style w:type="paragraph" w:styleId="FootnoteText">
    <w:name w:val="footnote text"/>
    <w:basedOn w:val="Normal"/>
    <w:link w:val="FootnoteTextChar"/>
    <w:uiPriority w:val="99"/>
    <w:semiHidden/>
    <w:rsid w:val="00582D68"/>
    <w:rPr>
      <w:sz w:val="20"/>
      <w:szCs w:val="20"/>
    </w:rPr>
  </w:style>
  <w:style w:type="character" w:customStyle="1" w:styleId="FootnoteTextChar">
    <w:name w:val="Footnote Text Char"/>
    <w:link w:val="FootnoteText"/>
    <w:uiPriority w:val="99"/>
    <w:semiHidden/>
    <w:locked/>
    <w:rPr>
      <w:rFonts w:cs="Times New Roman"/>
      <w:sz w:val="20"/>
      <w:szCs w:val="20"/>
      <w:lang w:val="lv-LV" w:eastAsia="lv-LV"/>
    </w:rPr>
  </w:style>
  <w:style w:type="paragraph" w:styleId="Footer">
    <w:name w:val="footer"/>
    <w:basedOn w:val="Normal"/>
    <w:link w:val="FooterChar"/>
    <w:uiPriority w:val="99"/>
    <w:rsid w:val="00582D68"/>
    <w:pPr>
      <w:tabs>
        <w:tab w:val="center" w:pos="4153"/>
        <w:tab w:val="right" w:pos="8306"/>
      </w:tabs>
    </w:pPr>
  </w:style>
  <w:style w:type="character" w:customStyle="1" w:styleId="FooterChar">
    <w:name w:val="Footer Char"/>
    <w:link w:val="Footer"/>
    <w:uiPriority w:val="99"/>
    <w:semiHidden/>
    <w:locked/>
    <w:rsid w:val="00582D68"/>
    <w:rPr>
      <w:rFonts w:cs="Times New Roman"/>
      <w:sz w:val="24"/>
      <w:szCs w:val="24"/>
      <w:lang w:val="lv-LV" w:eastAsia="lv-LV" w:bidi="ar-SA"/>
    </w:rPr>
  </w:style>
  <w:style w:type="character" w:styleId="Hyperlink">
    <w:name w:val="Hyperlink"/>
    <w:uiPriority w:val="99"/>
    <w:rsid w:val="00582D68"/>
    <w:rPr>
      <w:rFonts w:cs="Times New Roman"/>
      <w:color w:val="0000FF"/>
      <w:u w:val="single"/>
    </w:rPr>
  </w:style>
  <w:style w:type="paragraph" w:styleId="NormalWeb">
    <w:name w:val="Normal (Web)"/>
    <w:basedOn w:val="Normal"/>
    <w:uiPriority w:val="99"/>
    <w:rsid w:val="00582D68"/>
    <w:pPr>
      <w:spacing w:before="100" w:beforeAutospacing="1" w:after="100" w:afterAutospacing="1"/>
    </w:pPr>
  </w:style>
  <w:style w:type="paragraph" w:styleId="BodyTextIndent">
    <w:name w:val="Body Text Indent"/>
    <w:basedOn w:val="Normal"/>
    <w:link w:val="BodyTextIndentChar"/>
    <w:uiPriority w:val="99"/>
    <w:rsid w:val="000C2F3B"/>
    <w:pPr>
      <w:spacing w:after="120"/>
      <w:ind w:left="283"/>
    </w:pPr>
  </w:style>
  <w:style w:type="character" w:customStyle="1" w:styleId="BodyTextIndentChar">
    <w:name w:val="Body Text Indent Char"/>
    <w:link w:val="BodyTextIndent"/>
    <w:uiPriority w:val="99"/>
    <w:locked/>
    <w:rsid w:val="000C2F3B"/>
    <w:rPr>
      <w:rFonts w:cs="Times New Roman"/>
      <w:sz w:val="24"/>
      <w:szCs w:val="24"/>
      <w:lang w:val="lv-LV" w:eastAsia="lv-LV"/>
    </w:rPr>
  </w:style>
  <w:style w:type="paragraph" w:styleId="BodyText3">
    <w:name w:val="Body Text 3"/>
    <w:basedOn w:val="Normal"/>
    <w:link w:val="BodyText3Char"/>
    <w:uiPriority w:val="99"/>
    <w:unhideWhenUsed/>
    <w:rsid w:val="000C2F3B"/>
    <w:pPr>
      <w:spacing w:after="120"/>
    </w:pPr>
    <w:rPr>
      <w:sz w:val="16"/>
      <w:szCs w:val="16"/>
      <w:lang w:val="en-US" w:eastAsia="en-US"/>
    </w:rPr>
  </w:style>
  <w:style w:type="character" w:customStyle="1" w:styleId="BodyText3Char">
    <w:name w:val="Body Text 3 Char"/>
    <w:link w:val="BodyText3"/>
    <w:uiPriority w:val="99"/>
    <w:locked/>
    <w:rsid w:val="000C2F3B"/>
    <w:rPr>
      <w:rFonts w:cs="Times New Roman"/>
      <w:sz w:val="16"/>
      <w:szCs w:val="16"/>
    </w:rPr>
  </w:style>
  <w:style w:type="paragraph" w:customStyle="1" w:styleId="Default">
    <w:name w:val="Default"/>
    <w:rsid w:val="00766A94"/>
    <w:pPr>
      <w:autoSpaceDE w:val="0"/>
      <w:autoSpaceDN w:val="0"/>
      <w:adjustRightInd w:val="0"/>
    </w:pPr>
    <w:rPr>
      <w:rFonts w:ascii="EUAlbertina" w:hAnsi="EUAlbertina" w:cs="EUAlbertina"/>
      <w:color w:val="000000"/>
      <w:sz w:val="24"/>
      <w:szCs w:val="24"/>
    </w:rPr>
  </w:style>
  <w:style w:type="paragraph" w:styleId="BalloonText">
    <w:name w:val="Balloon Text"/>
    <w:basedOn w:val="Normal"/>
    <w:link w:val="BalloonTextChar"/>
    <w:uiPriority w:val="99"/>
    <w:semiHidden/>
    <w:unhideWhenUsed/>
    <w:rsid w:val="00655092"/>
    <w:rPr>
      <w:rFonts w:ascii="Tahoma" w:hAnsi="Tahoma" w:cs="Tahoma"/>
      <w:sz w:val="16"/>
      <w:szCs w:val="16"/>
    </w:rPr>
  </w:style>
  <w:style w:type="character" w:customStyle="1" w:styleId="BalloonTextChar">
    <w:name w:val="Balloon Text Char"/>
    <w:link w:val="BalloonText"/>
    <w:uiPriority w:val="99"/>
    <w:semiHidden/>
    <w:rsid w:val="00655092"/>
    <w:rPr>
      <w:rFonts w:ascii="Tahoma" w:hAnsi="Tahoma" w:cs="Tahoma"/>
      <w:sz w:val="16"/>
      <w:szCs w:val="16"/>
    </w:rPr>
  </w:style>
  <w:style w:type="character" w:styleId="CommentReference">
    <w:name w:val="annotation reference"/>
    <w:uiPriority w:val="99"/>
    <w:semiHidden/>
    <w:unhideWhenUsed/>
    <w:rsid w:val="008E75E9"/>
    <w:rPr>
      <w:sz w:val="16"/>
      <w:szCs w:val="16"/>
    </w:rPr>
  </w:style>
  <w:style w:type="paragraph" w:styleId="CommentText">
    <w:name w:val="annotation text"/>
    <w:basedOn w:val="Normal"/>
    <w:link w:val="CommentTextChar"/>
    <w:uiPriority w:val="99"/>
    <w:semiHidden/>
    <w:unhideWhenUsed/>
    <w:rsid w:val="008E75E9"/>
    <w:rPr>
      <w:sz w:val="20"/>
      <w:szCs w:val="20"/>
    </w:rPr>
  </w:style>
  <w:style w:type="character" w:customStyle="1" w:styleId="CommentTextChar">
    <w:name w:val="Comment Text Char"/>
    <w:basedOn w:val="DefaultParagraphFont"/>
    <w:link w:val="CommentText"/>
    <w:uiPriority w:val="99"/>
    <w:semiHidden/>
    <w:rsid w:val="008E75E9"/>
  </w:style>
  <w:style w:type="paragraph" w:styleId="CommentSubject">
    <w:name w:val="annotation subject"/>
    <w:basedOn w:val="CommentText"/>
    <w:next w:val="CommentText"/>
    <w:link w:val="CommentSubjectChar"/>
    <w:uiPriority w:val="99"/>
    <w:semiHidden/>
    <w:unhideWhenUsed/>
    <w:rsid w:val="008E75E9"/>
    <w:rPr>
      <w:b/>
      <w:bCs/>
    </w:rPr>
  </w:style>
  <w:style w:type="character" w:customStyle="1" w:styleId="CommentSubjectChar">
    <w:name w:val="Comment Subject Char"/>
    <w:link w:val="CommentSubject"/>
    <w:uiPriority w:val="99"/>
    <w:semiHidden/>
    <w:rsid w:val="008E75E9"/>
    <w:rPr>
      <w:b/>
      <w:bCs/>
    </w:rPr>
  </w:style>
  <w:style w:type="character" w:styleId="Emphasis">
    <w:name w:val="Emphasis"/>
    <w:uiPriority w:val="20"/>
    <w:qFormat/>
    <w:rsid w:val="00273BF9"/>
    <w:rPr>
      <w:i/>
      <w:iCs/>
    </w:rPr>
  </w:style>
  <w:style w:type="paragraph" w:styleId="ListParagraph">
    <w:name w:val="List Paragraph"/>
    <w:basedOn w:val="Normal"/>
    <w:uiPriority w:val="34"/>
    <w:qFormat/>
    <w:rsid w:val="005703E8"/>
    <w:pPr>
      <w:ind w:left="720"/>
      <w:contextualSpacing/>
    </w:pPr>
    <w:rPr>
      <w:lang w:val="en-GB" w:eastAsia="en-US"/>
    </w:rPr>
  </w:style>
  <w:style w:type="character" w:customStyle="1" w:styleId="2lmenisChar">
    <w:name w:val="2.līmenis Char"/>
    <w:basedOn w:val="DefaultParagraphFont"/>
    <w:link w:val="2lmenis"/>
    <w:uiPriority w:val="99"/>
    <w:locked/>
    <w:rsid w:val="000922E2"/>
    <w:rPr>
      <w:b/>
      <w:bCs/>
    </w:rPr>
  </w:style>
  <w:style w:type="paragraph" w:customStyle="1" w:styleId="2lmenis">
    <w:name w:val="2.līmenis"/>
    <w:basedOn w:val="Normal"/>
    <w:link w:val="2lmenisChar"/>
    <w:uiPriority w:val="99"/>
    <w:rsid w:val="000922E2"/>
    <w:pPr>
      <w:keepNext/>
      <w:spacing w:before="240" w:after="60"/>
      <w:ind w:left="720"/>
    </w:pPr>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49281">
      <w:bodyDiv w:val="1"/>
      <w:marLeft w:val="0"/>
      <w:marRight w:val="0"/>
      <w:marTop w:val="0"/>
      <w:marBottom w:val="0"/>
      <w:divBdr>
        <w:top w:val="none" w:sz="0" w:space="0" w:color="auto"/>
        <w:left w:val="none" w:sz="0" w:space="0" w:color="auto"/>
        <w:bottom w:val="none" w:sz="0" w:space="0" w:color="auto"/>
        <w:right w:val="none" w:sz="0" w:space="0" w:color="auto"/>
      </w:divBdr>
    </w:div>
    <w:div w:id="336663971">
      <w:bodyDiv w:val="1"/>
      <w:marLeft w:val="0"/>
      <w:marRight w:val="0"/>
      <w:marTop w:val="0"/>
      <w:marBottom w:val="0"/>
      <w:divBdr>
        <w:top w:val="none" w:sz="0" w:space="0" w:color="auto"/>
        <w:left w:val="none" w:sz="0" w:space="0" w:color="auto"/>
        <w:bottom w:val="none" w:sz="0" w:space="0" w:color="auto"/>
        <w:right w:val="none" w:sz="0" w:space="0" w:color="auto"/>
      </w:divBdr>
    </w:div>
    <w:div w:id="427701157">
      <w:bodyDiv w:val="1"/>
      <w:marLeft w:val="0"/>
      <w:marRight w:val="0"/>
      <w:marTop w:val="0"/>
      <w:marBottom w:val="0"/>
      <w:divBdr>
        <w:top w:val="none" w:sz="0" w:space="0" w:color="auto"/>
        <w:left w:val="none" w:sz="0" w:space="0" w:color="auto"/>
        <w:bottom w:val="none" w:sz="0" w:space="0" w:color="auto"/>
        <w:right w:val="none" w:sz="0" w:space="0" w:color="auto"/>
      </w:divBdr>
    </w:div>
    <w:div w:id="434208693">
      <w:marLeft w:val="0"/>
      <w:marRight w:val="0"/>
      <w:marTop w:val="0"/>
      <w:marBottom w:val="0"/>
      <w:divBdr>
        <w:top w:val="none" w:sz="0" w:space="0" w:color="auto"/>
        <w:left w:val="none" w:sz="0" w:space="0" w:color="auto"/>
        <w:bottom w:val="none" w:sz="0" w:space="0" w:color="auto"/>
        <w:right w:val="none" w:sz="0" w:space="0" w:color="auto"/>
      </w:divBdr>
    </w:div>
    <w:div w:id="648749347">
      <w:bodyDiv w:val="1"/>
      <w:marLeft w:val="0"/>
      <w:marRight w:val="0"/>
      <w:marTop w:val="0"/>
      <w:marBottom w:val="0"/>
      <w:divBdr>
        <w:top w:val="none" w:sz="0" w:space="0" w:color="auto"/>
        <w:left w:val="none" w:sz="0" w:space="0" w:color="auto"/>
        <w:bottom w:val="none" w:sz="0" w:space="0" w:color="auto"/>
        <w:right w:val="none" w:sz="0" w:space="0" w:color="auto"/>
      </w:divBdr>
    </w:div>
    <w:div w:id="1050763108">
      <w:bodyDiv w:val="1"/>
      <w:marLeft w:val="45"/>
      <w:marRight w:val="45"/>
      <w:marTop w:val="90"/>
      <w:marBottom w:val="90"/>
      <w:divBdr>
        <w:top w:val="none" w:sz="0" w:space="0" w:color="auto"/>
        <w:left w:val="none" w:sz="0" w:space="0" w:color="auto"/>
        <w:bottom w:val="none" w:sz="0" w:space="0" w:color="auto"/>
        <w:right w:val="none" w:sz="0" w:space="0" w:color="auto"/>
      </w:divBdr>
      <w:divsChild>
        <w:div w:id="490608490">
          <w:marLeft w:val="0"/>
          <w:marRight w:val="0"/>
          <w:marTop w:val="0"/>
          <w:marBottom w:val="567"/>
          <w:divBdr>
            <w:top w:val="none" w:sz="0" w:space="0" w:color="auto"/>
            <w:left w:val="none" w:sz="0" w:space="0" w:color="auto"/>
            <w:bottom w:val="none" w:sz="0" w:space="0" w:color="auto"/>
            <w:right w:val="none" w:sz="0" w:space="0" w:color="auto"/>
          </w:divBdr>
        </w:div>
      </w:divsChild>
    </w:div>
    <w:div w:id="1430813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1074F0-B3DF-4E50-843E-FB35E912E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9649</Words>
  <Characters>5500</Characters>
  <Application>Microsoft Office Word</Application>
  <DocSecurity>0</DocSecurity>
  <Lines>45</Lines>
  <Paragraphs>30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grozījumu projekta"Noteikumi par darbības programmas "Cilvēkresursi un nodarbinātība" papildinājuma 1.6.1.1. aktivitāti "Programmas vadības un atbalsta funkciju nodrošināšana", darbības programmas "Uzņēmējdarbība un inovācijas</vt:lpstr>
      <vt:lpstr>„Ministru kabineta noteikumu grozījumu projekta"Noteikumi par darbības programmas "Cilvēkresursi un nodarbinātība" papildinājuma 1.6.1.1. aktivitāti "Programmas vadības un atbalsta funkciju nodrošināšana", darbības programmas "Uzņēmējdarbība un inovācijas</vt:lpstr>
    </vt:vector>
  </TitlesOfParts>
  <Company>Finanšu ministrija</Company>
  <LinksUpToDate>false</LinksUpToDate>
  <CharactersWithSpaces>15119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grozījumu projekta"Noteikumi par darbības programmas "Cilvēkresursi un nodarbinātība" papildinājuma 1.6.1.1. aktivitāti "Programmas vadības un atbalsta funkciju nodrošināšana", darbības programmas "Uzņēmējdarbība un inovācijas</dc:title>
  <dc:subject>anotācija</dc:subject>
  <dc:creator>Edgars Zandbergs</dc:creator>
  <dc:description>Edgars.Zandbergs@fm.gov.lv, tālr. 67095532</dc:description>
  <cp:lastModifiedBy>Windows User</cp:lastModifiedBy>
  <cp:revision>12</cp:revision>
  <cp:lastPrinted>2012-10-11T15:13:00Z</cp:lastPrinted>
  <dcterms:created xsi:type="dcterms:W3CDTF">2012-12-13T07:00:00Z</dcterms:created>
  <dcterms:modified xsi:type="dcterms:W3CDTF">2012-12-17T11:44:00Z</dcterms:modified>
</cp:coreProperties>
</file>